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D0913">
      <w:pPr>
        <w:keepNext w:val="0"/>
        <w:keepLines w:val="0"/>
        <w:pageBreakBefore w:val="0"/>
        <w:widowControl w:val="0"/>
        <w:kinsoku/>
        <w:wordWrap/>
        <w:overflowPunct/>
        <w:topLinePunct w:val="0"/>
        <w:autoSpaceDE/>
        <w:autoSpaceDN/>
        <w:bidi w:val="0"/>
        <w:adjustRightInd/>
        <w:snapToGrid/>
        <w:spacing w:beforeAutospacing="0" w:afterAutospacing="0" w:line="1980" w:lineRule="exact"/>
        <w:ind w:left="0" w:leftChars="0" w:right="0" w:rightChars="0" w:firstLine="0" w:firstLineChars="0"/>
        <w:jc w:val="both"/>
        <w:textAlignment w:val="auto"/>
        <w:outlineLvl w:val="9"/>
        <w:rPr>
          <w:rFonts w:hint="default" w:ascii="Times New Roman" w:hAnsi="Times New Roman" w:eastAsia="方正小标宋简体" w:cs="Times New Roman"/>
          <w:b/>
          <w:bCs/>
          <w:color w:val="FF0000"/>
          <w:spacing w:val="-14"/>
          <w:w w:val="90"/>
          <w:sz w:val="122"/>
          <w:szCs w:val="122"/>
        </w:rPr>
      </w:pPr>
    </w:p>
    <w:p w14:paraId="756CC9F2">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both"/>
        <w:textAlignment w:val="auto"/>
        <w:outlineLvl w:val="9"/>
        <w:rPr>
          <w:rFonts w:hint="default" w:ascii="Times New Roman" w:hAnsi="Times New Roman" w:eastAsia="仿宋_GB2312" w:cs="Times New Roman"/>
          <w:color w:val="000000"/>
          <w:spacing w:val="-2"/>
          <w:w w:val="90"/>
          <w:sz w:val="32"/>
          <w:szCs w:val="32"/>
        </w:rPr>
      </w:pPr>
      <w:bookmarkStart w:id="2" w:name="_GoBack"/>
      <w:bookmarkEnd w:id="2"/>
    </w:p>
    <w:p w14:paraId="77BB8A4C">
      <w:pPr>
        <w:keepNext w:val="0"/>
        <w:keepLines w:val="0"/>
        <w:pageBreakBefore w:val="0"/>
        <w:widowControl w:val="0"/>
        <w:tabs>
          <w:tab w:val="left" w:pos="8610"/>
        </w:tabs>
        <w:kinsoku/>
        <w:wordWrap/>
        <w:overflowPunct/>
        <w:topLinePunct w:val="0"/>
        <w:autoSpaceDE/>
        <w:autoSpaceDN/>
        <w:bidi w:val="0"/>
        <w:adjustRightInd/>
        <w:spacing w:before="0" w:beforeLines="0" w:after="0" w:afterLines="0" w:line="560" w:lineRule="exact"/>
        <w:ind w:left="0" w:leftChars="0" w:right="0" w:rightChars="0"/>
        <w:jc w:val="center"/>
        <w:textAlignment w:val="auto"/>
        <w:outlineLvl w:val="9"/>
        <w:rPr>
          <w:rFonts w:hint="default" w:ascii="Times New Roman" w:hAnsi="Times New Roman" w:eastAsia="楷体_GB2312" w:cs="Times New Roman"/>
          <w:sz w:val="32"/>
          <w:szCs w:val="32"/>
        </w:rPr>
      </w:pPr>
      <w:r>
        <w:rPr>
          <w:rFonts w:hint="default" w:ascii="Times New Roman" w:hAnsi="Times New Roman" w:eastAsia="方正仿宋_GBK" w:cs="Times New Roman"/>
          <w:sz w:val="32"/>
          <w:szCs w:val="32"/>
        </w:rPr>
        <w:t>玉财</w:t>
      </w:r>
      <w:r>
        <w:rPr>
          <w:rFonts w:hint="default" w:ascii="Times New Roman" w:hAnsi="Times New Roman" w:eastAsia="方正仿宋_GBK" w:cs="Times New Roman"/>
          <w:sz w:val="32"/>
          <w:szCs w:val="32"/>
          <w:lang w:val="en-US" w:eastAsia="zh-CN"/>
        </w:rPr>
        <w:t>农</w:t>
      </w:r>
      <w:r>
        <w:rPr>
          <w:rFonts w:hint="default" w:ascii="Times New Roman" w:hAnsi="Times New Roman" w:eastAsia="方正仿宋_GBK" w:cs="Times New Roman"/>
          <w:sz w:val="32"/>
          <w:szCs w:val="32"/>
        </w:rPr>
        <w:t>〔20</w:t>
      </w: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90</w:t>
      </w:r>
      <w:r>
        <w:rPr>
          <w:rFonts w:hint="default" w:ascii="Times New Roman" w:hAnsi="Times New Roman" w:eastAsia="方正仿宋_GBK" w:cs="Times New Roman"/>
          <w:sz w:val="32"/>
          <w:szCs w:val="32"/>
        </w:rPr>
        <w:t>号</w:t>
      </w:r>
    </w:p>
    <w:p w14:paraId="53B17D02">
      <w:pPr>
        <w:keepNext w:val="0"/>
        <w:keepLines w:val="0"/>
        <w:pageBreakBefore w:val="0"/>
        <w:widowControl w:val="0"/>
        <w:tabs>
          <w:tab w:val="right" w:pos="9064"/>
        </w:tabs>
        <w:kinsoku/>
        <w:wordWrap/>
        <w:overflowPunct/>
        <w:topLinePunct w:val="0"/>
        <w:autoSpaceDE/>
        <w:autoSpaceDN/>
        <w:bidi w:val="0"/>
        <w:adjustRightInd/>
        <w:spacing w:before="0" w:beforeLines="0" w:after="0" w:afterLines="0" w:line="560" w:lineRule="exact"/>
        <w:ind w:left="0" w:leftChars="0" w:right="0" w:rightChars="0"/>
        <w:textAlignment w:val="auto"/>
        <w:outlineLvl w:val="9"/>
        <w:rPr>
          <w:rFonts w:hint="default" w:ascii="Times New Roman" w:hAnsi="Times New Roman" w:cs="Times New Roman"/>
          <w:b/>
          <w:color w:val="FF0000"/>
          <w:spacing w:val="-28"/>
          <w:w w:val="90"/>
          <w:sz w:val="32"/>
          <w:szCs w:val="32"/>
        </w:rPr>
      </w:pPr>
      <w:r>
        <w:rPr>
          <w:rFonts w:hint="default" w:ascii="Times New Roman" w:hAnsi="Times New Roman" w:cs="Times New Roman"/>
          <w:b/>
          <w:color w:val="FF0000"/>
          <w:spacing w:val="-28"/>
          <w:sz w:val="32"/>
          <w:szCs w:val="32"/>
        </w:rPr>
        <mc:AlternateContent>
          <mc:Choice Requires="wps">
            <w:drawing>
              <wp:anchor distT="0" distB="0" distL="114300" distR="114300" simplePos="0" relativeHeight="251660288" behindDoc="0" locked="0" layoutInCell="1" allowOverlap="1">
                <wp:simplePos x="0" y="0"/>
                <wp:positionH relativeFrom="column">
                  <wp:posOffset>-8890</wp:posOffset>
                </wp:positionH>
                <wp:positionV relativeFrom="paragraph">
                  <wp:posOffset>99695</wp:posOffset>
                </wp:positionV>
                <wp:extent cx="568769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687695" cy="635"/>
                        </a:xfrm>
                        <a:prstGeom prst="line">
                          <a:avLst/>
                        </a:prstGeom>
                        <a:ln w="19050" cap="flat" cmpd="sng">
                          <a:solidFill>
                            <a:srgbClr val="F9052D"/>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7pt;margin-top:7.85pt;height:0.05pt;width:447.85pt;z-index:251660288;mso-width-relative:page;mso-height-relative:page;" filled="f" stroked="t" coordsize="21600,21600" o:gfxdata="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dpjB42QAAAAgBAAAPAAAAAAAAAAEAIAAAACIAAABkcnMvZG93bnJldi54&#10;bWxQSwECFAAUAAAACACHTuJAAhOsRvkBAADnAwAADgAAAAAAAAABACAAAAAoAQAAZHJzL2Uyb0Rv&#10;Yy54bWxQSwUGAAAAAAYABgBZAQAAkwUAAAAA&#10;">
                <v:fill on="f" focussize="0,0"/>
                <v:stroke weight="1.5pt" color="#F9052D" joinstyle="round"/>
                <v:imagedata o:title=""/>
                <o:lock v:ext="edit" aspectratio="f"/>
              </v:line>
            </w:pict>
          </mc:Fallback>
        </mc:AlternateContent>
      </w:r>
      <w:r>
        <w:rPr>
          <w:rFonts w:hint="default" w:ascii="Times New Roman" w:hAnsi="Times New Roman" w:cs="Times New Roman"/>
          <w:b/>
          <w:color w:val="FF0000"/>
          <w:spacing w:val="-28"/>
          <w:w w:val="90"/>
          <w:sz w:val="32"/>
          <w:szCs w:val="32"/>
        </w:rPr>
        <w:tab/>
      </w:r>
    </w:p>
    <w:p w14:paraId="7E5FF607">
      <w:pPr>
        <w:keepNext w:val="0"/>
        <w:keepLines w:val="0"/>
        <w:pageBreakBefore w:val="0"/>
        <w:widowControl w:val="0"/>
        <w:kinsoku/>
        <w:wordWrap/>
        <w:overflowPunct/>
        <w:topLinePunct w:val="0"/>
        <w:autoSpaceDE/>
        <w:autoSpaceDN/>
        <w:bidi w:val="0"/>
        <w:adjustRightInd/>
        <w:spacing w:before="0" w:beforeLines="0" w:after="0" w:afterLines="0" w:line="590" w:lineRule="exact"/>
        <w:ind w:left="0" w:leftChars="0" w:right="0" w:rightChars="0"/>
        <w:textAlignment w:val="auto"/>
        <w:outlineLvl w:val="9"/>
        <w:rPr>
          <w:rFonts w:hint="default" w:ascii="Times New Roman" w:hAnsi="Times New Roman" w:eastAsia="仿宋_GB2312" w:cs="Times New Roman"/>
          <w:color w:val="000000"/>
          <w:spacing w:val="-2"/>
          <w:w w:val="90"/>
          <w:sz w:val="32"/>
          <w:szCs w:val="32"/>
        </w:rPr>
      </w:pPr>
    </w:p>
    <w:p w14:paraId="12E67283">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after="0" w:line="590" w:lineRule="exact"/>
        <w:jc w:val="center"/>
        <w:textAlignment w:val="auto"/>
        <w:rPr>
          <w:rFonts w:hint="default" w:ascii="Times New Roman" w:hAnsi="Times New Roman" w:eastAsia="方正小标宋_GBK" w:cs="Times New Roman"/>
          <w:b w:val="0"/>
          <w:bCs w:val="0"/>
          <w:spacing w:val="0"/>
          <w:sz w:val="44"/>
          <w:szCs w:val="44"/>
          <w:lang w:eastAsia="zh-CN"/>
        </w:rPr>
      </w:pPr>
      <w:r>
        <w:rPr>
          <w:rFonts w:hint="default" w:ascii="Times New Roman" w:hAnsi="Times New Roman" w:eastAsia="方正小标宋_GBK" w:cs="Times New Roman"/>
          <w:b w:val="0"/>
          <w:bCs w:val="0"/>
          <w:spacing w:val="0"/>
          <w:sz w:val="44"/>
          <w:szCs w:val="44"/>
          <w:lang w:eastAsia="zh-CN"/>
        </w:rPr>
        <w:t>玉溪市财政局关于关于调整下达财政常态化</w:t>
      </w:r>
    </w:p>
    <w:p w14:paraId="663DCF4D">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after="0" w:line="590" w:lineRule="exact"/>
        <w:jc w:val="center"/>
        <w:textAlignment w:val="auto"/>
        <w:rPr>
          <w:rFonts w:hint="default" w:ascii="Times New Roman" w:hAnsi="Times New Roman" w:eastAsia="方正小标宋_GBK" w:cs="Times New Roman"/>
          <w:b w:val="0"/>
          <w:bCs w:val="0"/>
          <w:spacing w:val="0"/>
          <w:sz w:val="44"/>
          <w:szCs w:val="44"/>
          <w:lang w:eastAsia="zh-CN"/>
        </w:rPr>
      </w:pPr>
      <w:r>
        <w:rPr>
          <w:rFonts w:hint="default" w:ascii="Times New Roman" w:hAnsi="Times New Roman" w:eastAsia="方正小标宋_GBK" w:cs="Times New Roman"/>
          <w:b w:val="0"/>
          <w:bCs w:val="0"/>
          <w:spacing w:val="0"/>
          <w:sz w:val="44"/>
          <w:szCs w:val="44"/>
          <w:lang w:eastAsia="zh-CN"/>
        </w:rPr>
        <w:t>帮扶资金激励奖惩资金（第二批）的通知</w:t>
      </w:r>
    </w:p>
    <w:p w14:paraId="098E72C5">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jc w:val="both"/>
        <w:textAlignment w:val="auto"/>
        <w:rPr>
          <w:rFonts w:hint="default" w:ascii="Times New Roman" w:hAnsi="Times New Roman" w:eastAsia="方正仿宋_GBK" w:cs="Times New Roman"/>
          <w:spacing w:val="0"/>
          <w:sz w:val="32"/>
          <w:szCs w:val="32"/>
        </w:rPr>
      </w:pPr>
    </w:p>
    <w:p w14:paraId="226278B7">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after="0" w:line="590" w:lineRule="exact"/>
        <w:jc w:val="both"/>
        <w:textAlignment w:val="auto"/>
        <w:rPr>
          <w:rFonts w:hint="default" w:ascii="Times New Roman" w:hAnsi="Times New Roman" w:eastAsia="方正仿宋_GBK" w:cs="Times New Roman"/>
          <w:color w:val="auto"/>
          <w:spacing w:val="0"/>
          <w:sz w:val="32"/>
          <w:szCs w:val="32"/>
          <w:lang w:eastAsia="zh-CN"/>
        </w:rPr>
      </w:pPr>
      <w:r>
        <w:rPr>
          <w:rFonts w:hint="eastAsia" w:ascii="Times New Roman" w:hAnsi="Times New Roman" w:eastAsia="方正仿宋_GBK" w:cs="Times New Roman"/>
          <w:color w:val="auto"/>
          <w:spacing w:val="0"/>
          <w:sz w:val="32"/>
          <w:szCs w:val="32"/>
          <w:lang w:eastAsia="zh-CN"/>
        </w:rPr>
        <w:t>各县（市、区）财政局</w:t>
      </w:r>
      <w:r>
        <w:rPr>
          <w:rFonts w:hint="default" w:ascii="Times New Roman" w:hAnsi="Times New Roman" w:eastAsia="方正仿宋_GBK" w:cs="Times New Roman"/>
          <w:color w:val="auto"/>
          <w:spacing w:val="0"/>
          <w:sz w:val="32"/>
          <w:szCs w:val="32"/>
          <w:lang w:eastAsia="zh-CN"/>
        </w:rPr>
        <w:t>：</w:t>
      </w:r>
      <w:bookmarkStart w:id="0" w:name="正文开始"/>
      <w:bookmarkEnd w:id="0"/>
    </w:p>
    <w:p w14:paraId="25CF3A60">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r>
        <w:rPr>
          <w:rFonts w:hint="default" w:ascii="Times New Roman" w:hAnsi="Times New Roman" w:eastAsia="方正仿宋_GBK" w:cs="Times New Roman"/>
          <w:color w:val="auto"/>
          <w:spacing w:val="0"/>
          <w:sz w:val="32"/>
          <w:szCs w:val="32"/>
          <w:lang w:eastAsia="zh-CN"/>
        </w:rPr>
        <w:t>根据《云南省财政厅 云南省农业农村厅关于调整下达财政常态化帮扶资金激励奖惩资金（第二批）的通知》（云财农〔202</w:t>
      </w:r>
      <w:r>
        <w:rPr>
          <w:rFonts w:hint="eastAsia" w:ascii="Times New Roman" w:hAnsi="Times New Roman" w:eastAsia="方正仿宋_GBK" w:cs="Times New Roman"/>
          <w:color w:val="auto"/>
          <w:spacing w:val="0"/>
          <w:sz w:val="32"/>
          <w:szCs w:val="32"/>
          <w:lang w:val="en-US" w:eastAsia="zh-CN"/>
        </w:rPr>
        <w:t>6</w:t>
      </w:r>
      <w:r>
        <w:rPr>
          <w:rFonts w:hint="default" w:ascii="Times New Roman" w:hAnsi="Times New Roman" w:eastAsia="方正仿宋_GBK" w:cs="Times New Roman"/>
          <w:color w:val="auto"/>
          <w:spacing w:val="0"/>
          <w:sz w:val="32"/>
          <w:szCs w:val="32"/>
          <w:lang w:eastAsia="zh-CN"/>
        </w:rPr>
        <w:t>〕</w:t>
      </w:r>
      <w:r>
        <w:rPr>
          <w:rFonts w:hint="eastAsia" w:ascii="Times New Roman" w:hAnsi="Times New Roman" w:eastAsia="方正仿宋_GBK" w:cs="Times New Roman"/>
          <w:color w:val="auto"/>
          <w:spacing w:val="0"/>
          <w:sz w:val="32"/>
          <w:szCs w:val="32"/>
          <w:lang w:val="en-US" w:eastAsia="zh-CN"/>
        </w:rPr>
        <w:t>107</w:t>
      </w:r>
      <w:r>
        <w:rPr>
          <w:rFonts w:hint="default" w:ascii="Times New Roman" w:hAnsi="Times New Roman" w:eastAsia="方正仿宋_GBK" w:cs="Times New Roman"/>
          <w:color w:val="auto"/>
          <w:spacing w:val="0"/>
          <w:sz w:val="32"/>
          <w:szCs w:val="32"/>
          <w:lang w:eastAsia="zh-CN"/>
        </w:rPr>
        <w:t>号）</w:t>
      </w:r>
      <w:r>
        <w:rPr>
          <w:rFonts w:hint="eastAsia" w:ascii="Times New Roman" w:hAnsi="Times New Roman" w:eastAsia="方正仿宋_GBK" w:cs="Times New Roman"/>
          <w:color w:val="auto"/>
          <w:spacing w:val="0"/>
          <w:sz w:val="32"/>
          <w:szCs w:val="32"/>
          <w:lang w:eastAsia="zh-CN"/>
        </w:rPr>
        <w:t>，现</w:t>
      </w:r>
      <w:r>
        <w:rPr>
          <w:rFonts w:hint="eastAsia" w:ascii="Times New Roman" w:hAnsi="Times New Roman" w:eastAsia="方正仿宋_GBK" w:cs="Times New Roman"/>
          <w:color w:val="auto"/>
          <w:spacing w:val="0"/>
          <w:sz w:val="32"/>
          <w:szCs w:val="32"/>
          <w:lang w:val="en-US" w:eastAsia="zh-CN"/>
        </w:rPr>
        <w:t>下达</w:t>
      </w:r>
      <w:r>
        <w:rPr>
          <w:rFonts w:hint="default" w:ascii="Times New Roman" w:hAnsi="Times New Roman" w:eastAsia="方正仿宋_GBK" w:cs="Times New Roman"/>
          <w:color w:val="auto"/>
          <w:spacing w:val="0"/>
          <w:sz w:val="32"/>
          <w:szCs w:val="32"/>
          <w:lang w:eastAsia="zh-CN"/>
        </w:rPr>
        <w:t>财政常态化帮扶资金激励奖惩资金（第二批）</w:t>
      </w:r>
      <w:r>
        <w:rPr>
          <w:rFonts w:hint="eastAsia" w:ascii="Times New Roman" w:hAnsi="Times New Roman" w:eastAsia="方正仿宋_GBK" w:cs="Times New Roman"/>
          <w:color w:val="auto"/>
          <w:spacing w:val="0"/>
          <w:sz w:val="32"/>
          <w:szCs w:val="32"/>
          <w:lang w:val="en-US" w:eastAsia="zh-CN"/>
        </w:rPr>
        <w:t>173万元</w:t>
      </w:r>
      <w:r>
        <w:rPr>
          <w:rFonts w:hint="default" w:ascii="Times New Roman" w:hAnsi="Times New Roman" w:eastAsia="方正仿宋_GBK" w:cs="Times New Roman"/>
          <w:color w:val="auto"/>
          <w:spacing w:val="0"/>
          <w:sz w:val="32"/>
          <w:szCs w:val="32"/>
          <w:lang w:eastAsia="zh-CN"/>
        </w:rPr>
        <w:t>（详见附件1）。资金列入2026</w:t>
      </w:r>
      <w:r>
        <w:rPr>
          <w:rFonts w:hint="eastAsia" w:ascii="方正仿宋_GBK" w:hAnsi="方正仿宋_GBK" w:eastAsia="方正仿宋_GBK" w:cs="方正仿宋_GBK"/>
          <w:color w:val="auto"/>
          <w:spacing w:val="0"/>
          <w:sz w:val="32"/>
          <w:szCs w:val="32"/>
          <w:lang w:eastAsia="zh-CN"/>
        </w:rPr>
        <w:t>年“</w:t>
      </w:r>
      <w:r>
        <w:rPr>
          <w:rFonts w:hint="default" w:ascii="Times New Roman" w:hAnsi="Times New Roman" w:eastAsia="方正仿宋_GBK" w:cs="Times New Roman"/>
          <w:color w:val="auto"/>
          <w:spacing w:val="0"/>
          <w:sz w:val="32"/>
          <w:szCs w:val="32"/>
          <w:lang w:eastAsia="zh-CN"/>
        </w:rPr>
        <w:t>110</w:t>
      </w:r>
      <w:r>
        <w:rPr>
          <w:rFonts w:hint="eastAsia" w:ascii="Times New Roman" w:hAnsi="Times New Roman" w:eastAsia="方正仿宋_GBK" w:cs="Times New Roman"/>
          <w:color w:val="auto"/>
          <w:spacing w:val="0"/>
          <w:sz w:val="32"/>
          <w:szCs w:val="32"/>
          <w:lang w:val="en-US" w:eastAsia="zh-CN"/>
        </w:rPr>
        <w:t>0313农林</w:t>
      </w:r>
      <w:r>
        <w:rPr>
          <w:rFonts w:hint="eastAsia" w:ascii="方正仿宋_GBK" w:hAnsi="方正仿宋_GBK" w:eastAsia="方正仿宋_GBK" w:cs="方正仿宋_GBK"/>
          <w:color w:val="auto"/>
          <w:spacing w:val="0"/>
          <w:sz w:val="32"/>
          <w:szCs w:val="32"/>
          <w:lang w:val="en-US" w:eastAsia="zh-CN"/>
        </w:rPr>
        <w:t>水</w:t>
      </w:r>
      <w:r>
        <w:rPr>
          <w:rFonts w:hint="eastAsia" w:ascii="方正仿宋_GBK" w:hAnsi="方正仿宋_GBK" w:eastAsia="方正仿宋_GBK" w:cs="方正仿宋_GBK"/>
          <w:color w:val="auto"/>
          <w:spacing w:val="0"/>
          <w:sz w:val="32"/>
          <w:szCs w:val="32"/>
          <w:lang w:eastAsia="zh-CN"/>
        </w:rPr>
        <w:t>”</w:t>
      </w:r>
      <w:r>
        <w:rPr>
          <w:rFonts w:hint="default" w:ascii="Times New Roman" w:hAnsi="Times New Roman" w:eastAsia="方正仿宋_GBK" w:cs="Times New Roman"/>
          <w:color w:val="auto"/>
          <w:spacing w:val="0"/>
          <w:sz w:val="32"/>
          <w:szCs w:val="32"/>
          <w:lang w:eastAsia="zh-CN"/>
        </w:rPr>
        <w:t>收入分类科</w:t>
      </w:r>
      <w:r>
        <w:rPr>
          <w:rFonts w:hint="eastAsia" w:ascii="方正仿宋_GBK" w:hAnsi="方正仿宋_GBK" w:eastAsia="方正仿宋_GBK" w:cs="方正仿宋_GBK"/>
          <w:color w:val="auto"/>
          <w:spacing w:val="0"/>
          <w:sz w:val="32"/>
          <w:szCs w:val="32"/>
          <w:lang w:eastAsia="zh-CN"/>
        </w:rPr>
        <w:t>目、“</w:t>
      </w:r>
      <w:r>
        <w:rPr>
          <w:rFonts w:hint="default" w:ascii="Times New Roman" w:hAnsi="Times New Roman" w:eastAsia="方正仿宋_GBK" w:cs="Times New Roman"/>
          <w:color w:val="auto"/>
          <w:spacing w:val="0"/>
          <w:sz w:val="32"/>
          <w:szCs w:val="32"/>
          <w:lang w:eastAsia="zh-CN"/>
        </w:rPr>
        <w:t>21305巩固脱贫攻坚成果衔接乡</w:t>
      </w:r>
      <w:r>
        <w:rPr>
          <w:rFonts w:hint="eastAsia" w:ascii="方正仿宋_GBK" w:hAnsi="方正仿宋_GBK" w:eastAsia="方正仿宋_GBK" w:cs="方正仿宋_GBK"/>
          <w:color w:val="auto"/>
          <w:spacing w:val="0"/>
          <w:sz w:val="32"/>
          <w:szCs w:val="32"/>
          <w:lang w:eastAsia="zh-CN"/>
        </w:rPr>
        <w:t>村振兴”支</w:t>
      </w:r>
      <w:r>
        <w:rPr>
          <w:rFonts w:hint="default" w:ascii="Times New Roman" w:hAnsi="Times New Roman" w:eastAsia="方正仿宋_GBK" w:cs="Times New Roman"/>
          <w:color w:val="auto"/>
          <w:spacing w:val="0"/>
          <w:sz w:val="32"/>
          <w:szCs w:val="32"/>
          <w:lang w:eastAsia="zh-CN"/>
        </w:rPr>
        <w:t>出功能分类</w:t>
      </w:r>
      <w:r>
        <w:rPr>
          <w:rFonts w:hint="eastAsia" w:ascii="方正仿宋_GBK" w:hAnsi="方正仿宋_GBK" w:eastAsia="方正仿宋_GBK" w:cs="方正仿宋_GBK"/>
          <w:color w:val="auto"/>
          <w:spacing w:val="0"/>
          <w:sz w:val="32"/>
          <w:szCs w:val="32"/>
          <w:lang w:eastAsia="zh-CN"/>
        </w:rPr>
        <w:t>科目、“</w:t>
      </w:r>
      <w:r>
        <w:rPr>
          <w:rFonts w:hint="default" w:ascii="Times New Roman" w:hAnsi="Times New Roman" w:eastAsia="方正仿宋_GBK" w:cs="Times New Roman"/>
          <w:color w:val="auto"/>
          <w:spacing w:val="0"/>
          <w:sz w:val="32"/>
          <w:szCs w:val="32"/>
          <w:lang w:eastAsia="zh-CN"/>
        </w:rPr>
        <w:t>51301上下级政府间转移</w:t>
      </w:r>
      <w:r>
        <w:rPr>
          <w:rFonts w:hint="eastAsia" w:ascii="方正仿宋_GBK" w:hAnsi="方正仿宋_GBK" w:eastAsia="方正仿宋_GBK" w:cs="方正仿宋_GBK"/>
          <w:color w:val="auto"/>
          <w:spacing w:val="0"/>
          <w:sz w:val="32"/>
          <w:szCs w:val="32"/>
          <w:lang w:eastAsia="zh-CN"/>
        </w:rPr>
        <w:t>支出”支出经济</w:t>
      </w:r>
      <w:r>
        <w:rPr>
          <w:rFonts w:hint="eastAsia" w:ascii="方正仿宋_GBK" w:hAnsi="方正仿宋_GBK" w:eastAsia="方正仿宋_GBK" w:cs="方正仿宋_GBK"/>
          <w:color w:val="auto"/>
          <w:spacing w:val="-8"/>
          <w:sz w:val="32"/>
          <w:szCs w:val="32"/>
          <w:lang w:eastAsia="zh-CN"/>
        </w:rPr>
        <w:t>分类科目。绩效目标与原资金下达文件一致。有关事项通知</w:t>
      </w:r>
      <w:r>
        <w:rPr>
          <w:rFonts w:hint="default" w:ascii="Times New Roman" w:hAnsi="Times New Roman" w:eastAsia="方正仿宋_GBK" w:cs="Times New Roman"/>
          <w:color w:val="auto"/>
          <w:spacing w:val="-8"/>
          <w:sz w:val="32"/>
          <w:szCs w:val="32"/>
          <w:lang w:eastAsia="zh-CN"/>
        </w:rPr>
        <w:t>如下</w:t>
      </w:r>
      <w:r>
        <w:rPr>
          <w:rFonts w:hint="eastAsia" w:ascii="Times New Roman" w:hAnsi="Times New Roman" w:eastAsia="方正仿宋_GBK" w:cs="Times New Roman"/>
          <w:color w:val="auto"/>
          <w:spacing w:val="-8"/>
          <w:sz w:val="32"/>
          <w:szCs w:val="32"/>
          <w:lang w:eastAsia="zh-CN"/>
        </w:rPr>
        <w:t>。</w:t>
      </w:r>
    </w:p>
    <w:p w14:paraId="7CEB2AA3">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r>
        <w:rPr>
          <w:rFonts w:hint="eastAsia" w:ascii="方正黑体_GBK" w:hAnsi="方正黑体_GBK" w:eastAsia="方正黑体_GBK" w:cs="方正黑体_GBK"/>
          <w:color w:val="auto"/>
          <w:spacing w:val="0"/>
          <w:sz w:val="32"/>
          <w:szCs w:val="32"/>
          <w:lang w:eastAsia="zh-CN"/>
        </w:rPr>
        <w:t>一、落实中央层面决策部署和省委省政府工作要求。</w:t>
      </w:r>
      <w:r>
        <w:rPr>
          <w:rFonts w:hint="default" w:ascii="Times New Roman" w:hAnsi="Times New Roman" w:eastAsia="方正仿宋_GBK" w:cs="Times New Roman"/>
          <w:color w:val="auto"/>
          <w:spacing w:val="0"/>
          <w:sz w:val="32"/>
          <w:szCs w:val="32"/>
          <w:lang w:eastAsia="zh-CN"/>
        </w:rPr>
        <w:t>《财政部农业农村部国家发展改革委国家民委国家林草局关于印发〈中央财政常态化帮扶资金管理办法〉的通知》（财农〔2026〕10号）明</w:t>
      </w:r>
      <w:r>
        <w:rPr>
          <w:rFonts w:hint="eastAsia" w:ascii="方正仿宋_GBK" w:hAnsi="方正仿宋_GBK" w:eastAsia="方正仿宋_GBK" w:cs="方正仿宋_GBK"/>
          <w:color w:val="auto"/>
          <w:spacing w:val="0"/>
          <w:sz w:val="32"/>
          <w:szCs w:val="32"/>
          <w:lang w:eastAsia="zh-CN"/>
        </w:rPr>
        <w:t>确“将绩效评价结</w:t>
      </w:r>
      <w:r>
        <w:rPr>
          <w:rFonts w:hint="default" w:ascii="Times New Roman" w:hAnsi="Times New Roman" w:eastAsia="方正仿宋_GBK" w:cs="Times New Roman"/>
          <w:color w:val="auto"/>
          <w:spacing w:val="0"/>
          <w:sz w:val="32"/>
          <w:szCs w:val="32"/>
          <w:lang w:eastAsia="zh-CN"/>
        </w:rPr>
        <w:t>果作为完善政策和资金分配的重要</w:t>
      </w:r>
      <w:r>
        <w:rPr>
          <w:rFonts w:hint="eastAsia" w:ascii="方正仿宋_GBK" w:hAnsi="方正仿宋_GBK" w:eastAsia="方正仿宋_GBK" w:cs="方正仿宋_GBK"/>
          <w:color w:val="auto"/>
          <w:spacing w:val="0"/>
          <w:sz w:val="32"/>
          <w:szCs w:val="32"/>
          <w:lang w:eastAsia="zh-CN"/>
        </w:rPr>
        <w:t>依据”。在</w:t>
      </w:r>
      <w:r>
        <w:rPr>
          <w:rFonts w:hint="default" w:ascii="Times New Roman" w:hAnsi="Times New Roman" w:eastAsia="方正仿宋_GBK" w:cs="Times New Roman"/>
          <w:color w:val="auto"/>
          <w:spacing w:val="0"/>
          <w:sz w:val="32"/>
          <w:szCs w:val="32"/>
          <w:lang w:eastAsia="zh-CN"/>
        </w:rPr>
        <w:t>7月9日全省推进常态化帮扶持续巩固拓展脱贫攻坚成果工作会议上，王宁书记强调各州（市）要加力加快资金支出进度。王予波省长要求对常态化帮扶资金使用效益不高的县市区，要减少资金分配。7月24日农业农村部牵头召开财政常态化帮扶资金使用管理情况视频调度会议，督促各地加快预算执行，财政部明确要求支出进度与资金分配挂钩。本次资金分配继续突出激励奖惩，是进一步落实党中央、国务院决策部署和省委、省政府工作要求的有力举措。各</w:t>
      </w:r>
      <w:r>
        <w:rPr>
          <w:rFonts w:hint="eastAsia" w:ascii="Times New Roman" w:hAnsi="Times New Roman" w:eastAsia="方正仿宋_GBK" w:cs="Times New Roman"/>
          <w:color w:val="auto"/>
          <w:spacing w:val="0"/>
          <w:sz w:val="32"/>
          <w:szCs w:val="32"/>
          <w:lang w:eastAsia="zh-CN"/>
        </w:rPr>
        <w:t>县（市、区）</w:t>
      </w:r>
      <w:r>
        <w:rPr>
          <w:rFonts w:hint="default" w:ascii="Times New Roman" w:hAnsi="Times New Roman" w:eastAsia="方正仿宋_GBK" w:cs="Times New Roman"/>
          <w:color w:val="auto"/>
          <w:spacing w:val="0"/>
          <w:sz w:val="32"/>
          <w:szCs w:val="32"/>
          <w:lang w:eastAsia="zh-CN"/>
        </w:rPr>
        <w:t>要进一步提高认识，把激励奖惩作为压实责任、提高内生动力的有效举措，千方百计抓好财政常态化帮扶资金支出工作。</w:t>
      </w:r>
    </w:p>
    <w:p w14:paraId="4CDFBB34">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r>
        <w:rPr>
          <w:rFonts w:hint="eastAsia" w:ascii="方正黑体_GBK" w:hAnsi="方正黑体_GBK" w:eastAsia="方正黑体_GBK" w:cs="方正黑体_GBK"/>
          <w:color w:val="auto"/>
          <w:spacing w:val="0"/>
          <w:sz w:val="32"/>
          <w:szCs w:val="32"/>
          <w:lang w:eastAsia="zh-CN"/>
        </w:rPr>
        <w:t>二、严格实施激励奖惩。</w:t>
      </w:r>
      <w:r>
        <w:rPr>
          <w:rFonts w:hint="default" w:ascii="Times New Roman" w:hAnsi="Times New Roman" w:eastAsia="方正仿宋_GBK" w:cs="Times New Roman"/>
          <w:color w:val="auto"/>
          <w:spacing w:val="0"/>
          <w:sz w:val="32"/>
          <w:szCs w:val="32"/>
          <w:lang w:eastAsia="zh-CN"/>
        </w:rPr>
        <w:t>考虑到7月31日是国家考核时间节点，本次省级对7月20日、7月31日中央和省级资金总体支出未达到目标支出进度的地区进行扣减，扣回资金奖励给支出进度快的地区，并统一从已下达到县的省级资金中进行调整。其中，对7月20日的中央和省级资金总体支出进度低于目标支出进度49.8%（6月底一般公共预算执行进度）的，按应达到目标支出进度49.8%尚需支出金额的10%予以扣减；对7月31日中央和省级资金总体支出进度低于目标支出进度58.4%（7月底序时进度），按应达到目标支出进度58.4%尚需支出金额的20%予以扣减，7月31日扣减时按照7月20日扣减后的基数重新计算支出进度。本次</w:t>
      </w:r>
      <w:r>
        <w:rPr>
          <w:rFonts w:hint="eastAsia" w:ascii="Times New Roman" w:hAnsi="Times New Roman" w:eastAsia="方正仿宋_GBK" w:cs="Times New Roman"/>
          <w:color w:val="auto"/>
          <w:spacing w:val="0"/>
          <w:sz w:val="32"/>
          <w:szCs w:val="32"/>
          <w:lang w:eastAsia="zh-CN"/>
        </w:rPr>
        <w:t>全省</w:t>
      </w:r>
      <w:r>
        <w:rPr>
          <w:rFonts w:hint="default" w:ascii="Times New Roman" w:hAnsi="Times New Roman" w:eastAsia="方正仿宋_GBK" w:cs="Times New Roman"/>
          <w:color w:val="auto"/>
          <w:spacing w:val="0"/>
          <w:sz w:val="32"/>
          <w:szCs w:val="32"/>
          <w:lang w:eastAsia="zh-CN"/>
        </w:rPr>
        <w:t>共计扣减4706万元，扣回的资金奖励给超过7月31日全省平均进度60.2%的61个县（市、区）</w:t>
      </w:r>
      <w:r>
        <w:rPr>
          <w:rFonts w:hint="eastAsia" w:ascii="Times New Roman" w:hAnsi="Times New Roman" w:eastAsia="方正仿宋_GBK" w:cs="Times New Roman"/>
          <w:color w:val="auto"/>
          <w:spacing w:val="0"/>
          <w:sz w:val="32"/>
          <w:szCs w:val="32"/>
          <w:lang w:eastAsia="zh-CN"/>
        </w:rPr>
        <w:t>，其中包括玉溪市华宁县、峨山县、元江县</w:t>
      </w:r>
      <w:r>
        <w:rPr>
          <w:rFonts w:hint="default" w:ascii="Times New Roman" w:hAnsi="Times New Roman" w:eastAsia="方正仿宋_GBK" w:cs="Times New Roman"/>
          <w:color w:val="auto"/>
          <w:spacing w:val="0"/>
          <w:sz w:val="32"/>
          <w:szCs w:val="32"/>
          <w:lang w:eastAsia="zh-CN"/>
        </w:rPr>
        <w:t>。得到奖励的地区要再接再厉，持续提升资金管理水平；</w:t>
      </w:r>
      <w:r>
        <w:rPr>
          <w:rFonts w:hint="eastAsia" w:ascii="Times New Roman" w:hAnsi="Times New Roman" w:eastAsia="方正仿宋_GBK" w:cs="Times New Roman"/>
          <w:color w:val="auto"/>
          <w:spacing w:val="0"/>
          <w:sz w:val="32"/>
          <w:szCs w:val="32"/>
          <w:lang w:eastAsia="zh-CN"/>
        </w:rPr>
        <w:t>未得到奖励或</w:t>
      </w:r>
      <w:r>
        <w:rPr>
          <w:rFonts w:hint="default" w:ascii="Times New Roman" w:hAnsi="Times New Roman" w:eastAsia="方正仿宋_GBK" w:cs="Times New Roman"/>
          <w:color w:val="auto"/>
          <w:spacing w:val="0"/>
          <w:sz w:val="32"/>
          <w:szCs w:val="32"/>
          <w:lang w:eastAsia="zh-CN"/>
        </w:rPr>
        <w:t>被扣减资金的地区，要认真查找原因，采取切实措施加快资金支出，举一反三提升资金管理水平。后续省级将继续在关键时间节点加强调度，持续实施激励奖惩机制。</w:t>
      </w:r>
    </w:p>
    <w:p w14:paraId="69EEFF2E">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r>
        <w:rPr>
          <w:rFonts w:hint="eastAsia" w:ascii="方正黑体_GBK" w:hAnsi="方正黑体_GBK" w:eastAsia="方正黑体_GBK" w:cs="方正黑体_GBK"/>
          <w:color w:val="auto"/>
          <w:spacing w:val="0"/>
          <w:sz w:val="32"/>
          <w:szCs w:val="32"/>
          <w:lang w:eastAsia="zh-CN"/>
        </w:rPr>
        <w:t>三、管好用好激励资金。</w:t>
      </w:r>
      <w:r>
        <w:rPr>
          <w:rFonts w:hint="default" w:ascii="Times New Roman" w:hAnsi="Times New Roman" w:eastAsia="方正仿宋_GBK" w:cs="Times New Roman"/>
          <w:color w:val="auto"/>
          <w:spacing w:val="0"/>
          <w:sz w:val="32"/>
          <w:szCs w:val="32"/>
          <w:lang w:eastAsia="zh-CN"/>
        </w:rPr>
        <w:t>各县（市、区）要认真贯彻落实党中央、国务院关于常态化帮扶的决策部署和省委、省政府工作要求，严格按照常态化帮扶资金管理办法等规定和乡村振兴项目库管理要求，加强项目资金管理，收到上级资金后30日内将资金分解下达到具体单位或项目。按程序尽快调整完善项目库，资金增加的地区要优先选择条件成熟的项目，加强项目实施跟踪调度，加快资金支出，资金减少的地区要相应做好项目完善工作。省级将持续强化资金监管，开展全过程绩效管理，确保资金使用高效规范安全，充分发挥资金使用效益。</w:t>
      </w:r>
    </w:p>
    <w:p w14:paraId="18A3C1EC">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p>
    <w:p w14:paraId="47B63563">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r>
        <w:rPr>
          <w:rFonts w:hint="default" w:ascii="Times New Roman" w:hAnsi="Times New Roman" w:eastAsia="方正仿宋_GBK" w:cs="Times New Roman"/>
          <w:color w:val="auto"/>
          <w:spacing w:val="0"/>
          <w:sz w:val="32"/>
          <w:szCs w:val="32"/>
          <w:lang w:eastAsia="zh-CN"/>
        </w:rPr>
        <w:t>附件：2026年省级财政常态化帮扶资金激励奖惩安排表</w:t>
      </w:r>
    </w:p>
    <w:p w14:paraId="50384CD1">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1620" w:firstLineChars="500"/>
        <w:jc w:val="both"/>
        <w:textAlignment w:val="auto"/>
        <w:rPr>
          <w:rFonts w:hint="default" w:ascii="Times New Roman" w:hAnsi="Times New Roman" w:eastAsia="方正仿宋_GBK" w:cs="Times New Roman"/>
          <w:color w:val="auto"/>
          <w:spacing w:val="0"/>
          <w:sz w:val="32"/>
          <w:szCs w:val="32"/>
          <w:lang w:eastAsia="zh-CN"/>
        </w:rPr>
      </w:pPr>
      <w:r>
        <w:rPr>
          <w:rFonts w:hint="default" w:ascii="Times New Roman" w:hAnsi="Times New Roman" w:eastAsia="方正仿宋_GBK" w:cs="Times New Roman"/>
          <w:color w:val="auto"/>
          <w:spacing w:val="0"/>
          <w:sz w:val="32"/>
          <w:szCs w:val="32"/>
          <w:lang w:eastAsia="zh-CN"/>
        </w:rPr>
        <w:t>（第二批）</w:t>
      </w:r>
    </w:p>
    <w:p w14:paraId="6F72089C">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648" w:firstLineChars="200"/>
        <w:jc w:val="both"/>
        <w:textAlignment w:val="auto"/>
        <w:rPr>
          <w:rFonts w:hint="default" w:ascii="Times New Roman" w:hAnsi="Times New Roman" w:eastAsia="方正仿宋_GBK" w:cs="Times New Roman"/>
          <w:color w:val="auto"/>
          <w:spacing w:val="0"/>
          <w:sz w:val="32"/>
          <w:szCs w:val="32"/>
          <w:lang w:eastAsia="zh-CN"/>
        </w:rPr>
      </w:pPr>
    </w:p>
    <w:p w14:paraId="2A334CD0">
      <w:pPr>
        <w:pStyle w:val="2"/>
        <w:rPr>
          <w:rFonts w:hint="default"/>
          <w:lang w:eastAsia="zh-CN"/>
        </w:rPr>
      </w:pPr>
    </w:p>
    <w:p w14:paraId="479D96F8">
      <w:pPr>
        <w:pStyle w:val="2"/>
        <w:rPr>
          <w:rFonts w:hint="default"/>
          <w:lang w:eastAsia="zh-CN"/>
        </w:rPr>
      </w:pPr>
    </w:p>
    <w:p w14:paraId="45BA4DAF">
      <w:pPr>
        <w:pStyle w:val="2"/>
        <w:rPr>
          <w:rFonts w:hint="default"/>
          <w:lang w:eastAsia="zh-CN"/>
        </w:rPr>
      </w:pPr>
    </w:p>
    <w:p w14:paraId="18742F4E">
      <w:pPr>
        <w:keepNext w:val="0"/>
        <w:keepLines w:val="0"/>
        <w:pageBreakBefore w:val="0"/>
        <w:widowControl w:val="0"/>
        <w:pBdr>
          <w:top w:val="none" w:color="auto" w:sz="0" w:space="0"/>
          <w:bottom w:val="none" w:color="auto" w:sz="0" w:space="0"/>
        </w:pBdr>
        <w:tabs>
          <w:tab w:val="left" w:pos="7560"/>
        </w:tabs>
        <w:kinsoku/>
        <w:wordWrap/>
        <w:overflowPunct/>
        <w:topLinePunct w:val="0"/>
        <w:autoSpaceDE/>
        <w:autoSpaceDN/>
        <w:bidi w:val="0"/>
        <w:adjustRightInd/>
        <w:snapToGrid/>
        <w:spacing w:after="0" w:line="590" w:lineRule="exact"/>
        <w:ind w:right="1123"/>
        <w:jc w:val="center"/>
        <w:textAlignment w:val="auto"/>
        <w:rPr>
          <w:rFonts w:hint="default" w:ascii="Times New Roman" w:hAnsi="Times New Roman" w:eastAsia="方正仿宋_GBK" w:cs="Times New Roman"/>
          <w:color w:val="auto"/>
          <w:spacing w:val="0"/>
          <w:sz w:val="32"/>
          <w:szCs w:val="32"/>
          <w:lang w:eastAsia="zh-CN"/>
        </w:rPr>
      </w:pPr>
      <w:bookmarkStart w:id="1" w:name="GWDocEnd"/>
      <w:bookmarkEnd w:id="1"/>
      <w:r>
        <w:rPr>
          <w:rFonts w:hint="eastAsia" w:ascii="Times New Roman" w:hAnsi="Times New Roman" w:eastAsia="方正仿宋_GBK" w:cs="Times New Roman"/>
          <w:color w:val="auto"/>
          <w:spacing w:val="0"/>
          <w:sz w:val="32"/>
          <w:szCs w:val="32"/>
          <w:lang w:val="en-US" w:eastAsia="zh-CN"/>
        </w:rPr>
        <w:t xml:space="preserve">                      </w:t>
      </w:r>
      <w:r>
        <w:rPr>
          <w:rFonts w:hint="default" w:ascii="Times New Roman" w:hAnsi="Times New Roman" w:eastAsia="方正仿宋_GBK" w:cs="Times New Roman"/>
          <w:color w:val="auto"/>
          <w:spacing w:val="0"/>
          <w:sz w:val="32"/>
          <w:szCs w:val="32"/>
          <w:lang w:eastAsia="zh-CN"/>
        </w:rPr>
        <w:t>202</w:t>
      </w:r>
      <w:r>
        <w:rPr>
          <w:rFonts w:hint="eastAsia" w:ascii="Times New Roman" w:hAnsi="Times New Roman" w:eastAsia="方正仿宋_GBK" w:cs="Times New Roman"/>
          <w:color w:val="auto"/>
          <w:spacing w:val="0"/>
          <w:sz w:val="32"/>
          <w:szCs w:val="32"/>
          <w:lang w:val="en-US" w:eastAsia="zh-CN"/>
        </w:rPr>
        <w:t>6</w:t>
      </w:r>
      <w:r>
        <w:rPr>
          <w:rFonts w:hint="default" w:ascii="Times New Roman" w:hAnsi="Times New Roman" w:eastAsia="方正仿宋_GBK" w:cs="Times New Roman"/>
          <w:color w:val="auto"/>
          <w:spacing w:val="0"/>
          <w:sz w:val="32"/>
          <w:szCs w:val="32"/>
          <w:lang w:eastAsia="zh-CN"/>
        </w:rPr>
        <w:t>年</w:t>
      </w:r>
      <w:r>
        <w:rPr>
          <w:rFonts w:hint="eastAsia" w:ascii="Times New Roman" w:hAnsi="Times New Roman" w:eastAsia="方正仿宋_GBK" w:cs="Times New Roman"/>
          <w:color w:val="auto"/>
          <w:spacing w:val="0"/>
          <w:sz w:val="32"/>
          <w:szCs w:val="32"/>
          <w:lang w:val="en-US" w:eastAsia="zh-CN"/>
        </w:rPr>
        <w:t>8</w:t>
      </w:r>
      <w:r>
        <w:rPr>
          <w:rFonts w:hint="default" w:ascii="Times New Roman" w:hAnsi="Times New Roman" w:eastAsia="方正仿宋_GBK" w:cs="Times New Roman"/>
          <w:color w:val="auto"/>
          <w:spacing w:val="0"/>
          <w:sz w:val="32"/>
          <w:szCs w:val="32"/>
          <w:lang w:eastAsia="zh-CN"/>
        </w:rPr>
        <w:t>月</w:t>
      </w:r>
      <w:r>
        <w:rPr>
          <w:rFonts w:hint="eastAsia" w:ascii="Times New Roman" w:hAnsi="Times New Roman" w:eastAsia="方正仿宋_GBK" w:cs="Times New Roman"/>
          <w:color w:val="auto"/>
          <w:spacing w:val="0"/>
          <w:sz w:val="32"/>
          <w:szCs w:val="32"/>
          <w:lang w:val="en-US" w:eastAsia="zh-CN"/>
        </w:rPr>
        <w:t>31</w:t>
      </w:r>
      <w:r>
        <w:rPr>
          <w:rFonts w:hint="default" w:ascii="Times New Roman" w:hAnsi="Times New Roman" w:eastAsia="方正仿宋_GBK" w:cs="Times New Roman"/>
          <w:color w:val="auto"/>
          <w:spacing w:val="0"/>
          <w:sz w:val="32"/>
          <w:szCs w:val="32"/>
          <w:lang w:eastAsia="zh-CN"/>
        </w:rPr>
        <w:t>日</w:t>
      </w:r>
    </w:p>
    <w:p w14:paraId="33824A2E">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rPr>
          <w:rFonts w:hint="default" w:ascii="Times New Roman" w:hAnsi="Times New Roman" w:cs="Times New Roman"/>
        </w:rPr>
      </w:pPr>
    </w:p>
    <w:p w14:paraId="728EBA1E">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rPr>
          <w:rFonts w:hint="default" w:ascii="Times New Roman" w:hAnsi="Times New Roman" w:cs="Times New Roman"/>
        </w:rPr>
      </w:pPr>
    </w:p>
    <w:p w14:paraId="570CC6D0">
      <w:pPr>
        <w:pStyle w:val="2"/>
        <w:rPr>
          <w:rFonts w:hint="default" w:ascii="Times New Roman" w:hAnsi="Times New Roman" w:cs="Times New Roman"/>
        </w:rPr>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315" w:charSpace="950"/>
        </w:sectPr>
      </w:pPr>
    </w:p>
    <w:p w14:paraId="53C23F3E">
      <w:pPr>
        <w:rPr>
          <w:rFonts w:hint="eastAsia" w:ascii="方正黑体_GBK" w:hAnsi="方正黑体_GBK" w:eastAsia="方正黑体_GBK" w:cs="方正黑体_GBK"/>
          <w:sz w:val="32"/>
          <w:szCs w:val="36"/>
          <w:lang w:eastAsia="zh-CN"/>
        </w:rPr>
      </w:pPr>
      <w:r>
        <w:rPr>
          <w:rFonts w:hint="eastAsia" w:ascii="方正黑体_GBK" w:hAnsi="方正黑体_GBK" w:eastAsia="方正黑体_GBK" w:cs="方正黑体_GBK"/>
          <w:sz w:val="32"/>
          <w:szCs w:val="36"/>
          <w:lang w:eastAsia="zh-CN"/>
        </w:rPr>
        <w:t>附件</w:t>
      </w:r>
    </w:p>
    <w:p w14:paraId="4F51C376">
      <w:pPr>
        <w:rPr>
          <w:rFonts w:hint="default" w:ascii="Times New Roman" w:hAnsi="Times New Roman" w:cs="Times New Roma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217"/>
        <w:gridCol w:w="1070"/>
        <w:gridCol w:w="1218"/>
        <w:gridCol w:w="950"/>
        <w:gridCol w:w="1206"/>
        <w:gridCol w:w="1132"/>
        <w:gridCol w:w="932"/>
        <w:gridCol w:w="1025"/>
        <w:gridCol w:w="1054"/>
        <w:gridCol w:w="1268"/>
        <w:gridCol w:w="964"/>
        <w:gridCol w:w="1252"/>
        <w:gridCol w:w="948"/>
      </w:tblGrid>
      <w:tr w14:paraId="2BD80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5000" w:type="pct"/>
            <w:gridSpan w:val="14"/>
            <w:tcBorders>
              <w:top w:val="nil"/>
              <w:left w:val="nil"/>
              <w:bottom w:val="nil"/>
              <w:right w:val="nil"/>
            </w:tcBorders>
            <w:shd w:val="clear" w:color="auto" w:fill="auto"/>
            <w:vAlign w:val="center"/>
          </w:tcPr>
          <w:p w14:paraId="0E4A6A1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default" w:ascii="Times New Roman" w:hAnsi="Times New Roman" w:eastAsia="方正小标宋_GBK" w:cs="Times New Roman"/>
                <w:b w:val="0"/>
                <w:bCs w:val="0"/>
                <w:i w:val="0"/>
                <w:iCs w:val="0"/>
                <w:color w:val="000000"/>
                <w:kern w:val="0"/>
                <w:sz w:val="40"/>
                <w:szCs w:val="40"/>
                <w:u w:val="none"/>
                <w:lang w:val="en-US" w:eastAsia="zh-CN" w:bidi="ar"/>
              </w:rPr>
              <w:t>2026年财政衔接常态化帮扶资金激励奖惩安排表（第二批）</w:t>
            </w:r>
          </w:p>
        </w:tc>
      </w:tr>
      <w:tr w14:paraId="2ABEA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0" w:hRule="atLeast"/>
        </w:trPr>
        <w:tc>
          <w:tcPr>
            <w:tcW w:w="220" w:type="pct"/>
            <w:tcBorders>
              <w:top w:val="nil"/>
              <w:left w:val="nil"/>
              <w:bottom w:val="nil"/>
              <w:right w:val="nil"/>
            </w:tcBorders>
            <w:shd w:val="clear" w:color="auto" w:fill="auto"/>
            <w:vAlign w:val="center"/>
          </w:tcPr>
          <w:p w14:paraId="72178745">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408" w:type="pct"/>
            <w:tcBorders>
              <w:top w:val="nil"/>
              <w:left w:val="nil"/>
              <w:bottom w:val="nil"/>
              <w:right w:val="nil"/>
            </w:tcBorders>
            <w:shd w:val="clear" w:color="auto" w:fill="auto"/>
            <w:vAlign w:val="center"/>
          </w:tcPr>
          <w:p w14:paraId="385C8E5C">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359" w:type="pct"/>
            <w:tcBorders>
              <w:top w:val="nil"/>
              <w:left w:val="nil"/>
              <w:bottom w:val="nil"/>
              <w:right w:val="nil"/>
            </w:tcBorders>
            <w:shd w:val="clear" w:color="auto" w:fill="auto"/>
            <w:vAlign w:val="center"/>
          </w:tcPr>
          <w:p w14:paraId="70AE6DB0">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408" w:type="pct"/>
            <w:tcBorders>
              <w:top w:val="nil"/>
              <w:left w:val="nil"/>
              <w:bottom w:val="nil"/>
              <w:right w:val="nil"/>
            </w:tcBorders>
            <w:shd w:val="clear" w:color="auto" w:fill="auto"/>
            <w:vAlign w:val="center"/>
          </w:tcPr>
          <w:p w14:paraId="30580BF9">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318" w:type="pct"/>
            <w:tcBorders>
              <w:top w:val="nil"/>
              <w:left w:val="nil"/>
              <w:bottom w:val="nil"/>
              <w:right w:val="nil"/>
            </w:tcBorders>
            <w:shd w:val="clear" w:color="auto" w:fill="auto"/>
            <w:vAlign w:val="center"/>
          </w:tcPr>
          <w:p w14:paraId="03024109">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404" w:type="pct"/>
            <w:tcBorders>
              <w:top w:val="nil"/>
              <w:left w:val="nil"/>
              <w:bottom w:val="nil"/>
              <w:right w:val="nil"/>
            </w:tcBorders>
            <w:shd w:val="clear" w:color="auto" w:fill="auto"/>
            <w:vAlign w:val="center"/>
          </w:tcPr>
          <w:p w14:paraId="7E67C936">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380" w:type="pct"/>
            <w:tcBorders>
              <w:top w:val="nil"/>
              <w:left w:val="nil"/>
              <w:bottom w:val="nil"/>
              <w:right w:val="nil"/>
            </w:tcBorders>
            <w:shd w:val="clear" w:color="auto" w:fill="auto"/>
            <w:vAlign w:val="center"/>
          </w:tcPr>
          <w:p w14:paraId="0A33898A">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312" w:type="pct"/>
            <w:tcBorders>
              <w:top w:val="nil"/>
              <w:left w:val="nil"/>
              <w:bottom w:val="nil"/>
              <w:right w:val="nil"/>
            </w:tcBorders>
            <w:shd w:val="clear" w:color="auto" w:fill="auto"/>
            <w:vAlign w:val="center"/>
          </w:tcPr>
          <w:p w14:paraId="3CFD2B81">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18"/>
                <w:szCs w:val="18"/>
                <w:u w:val="none"/>
              </w:rPr>
            </w:pPr>
          </w:p>
        </w:tc>
        <w:tc>
          <w:tcPr>
            <w:tcW w:w="344" w:type="pct"/>
            <w:tcBorders>
              <w:top w:val="nil"/>
              <w:left w:val="nil"/>
              <w:bottom w:val="nil"/>
              <w:right w:val="nil"/>
            </w:tcBorders>
            <w:shd w:val="clear" w:color="auto" w:fill="auto"/>
            <w:noWrap/>
            <w:vAlign w:val="center"/>
          </w:tcPr>
          <w:p w14:paraId="0AE4AE82">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22"/>
                <w:szCs w:val="22"/>
                <w:u w:val="none"/>
              </w:rPr>
            </w:pPr>
          </w:p>
        </w:tc>
        <w:tc>
          <w:tcPr>
            <w:tcW w:w="353" w:type="pct"/>
            <w:tcBorders>
              <w:top w:val="nil"/>
              <w:left w:val="nil"/>
              <w:bottom w:val="nil"/>
              <w:right w:val="nil"/>
            </w:tcBorders>
            <w:shd w:val="clear" w:color="auto" w:fill="auto"/>
            <w:noWrap/>
            <w:vAlign w:val="center"/>
          </w:tcPr>
          <w:p w14:paraId="6AD6C300">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i w:val="0"/>
                <w:iCs w:val="0"/>
                <w:color w:val="000000"/>
                <w:sz w:val="22"/>
                <w:szCs w:val="22"/>
                <w:u w:val="none"/>
              </w:rPr>
            </w:pPr>
          </w:p>
        </w:tc>
        <w:tc>
          <w:tcPr>
            <w:tcW w:w="425" w:type="pct"/>
            <w:tcBorders>
              <w:top w:val="nil"/>
              <w:left w:val="nil"/>
              <w:bottom w:val="nil"/>
              <w:right w:val="nil"/>
            </w:tcBorders>
            <w:shd w:val="clear" w:color="auto" w:fill="auto"/>
            <w:noWrap/>
            <w:vAlign w:val="center"/>
          </w:tcPr>
          <w:p w14:paraId="7DB85EC3">
            <w:pPr>
              <w:keepNext w:val="0"/>
              <w:keepLines w:val="0"/>
              <w:pageBreakBefore w:val="0"/>
              <w:kinsoku/>
              <w:wordWrap/>
              <w:overflowPunct/>
              <w:topLinePunct w:val="0"/>
              <w:autoSpaceDE/>
              <w:autoSpaceDN/>
              <w:bidi w:val="0"/>
              <w:adjustRightInd/>
              <w:snapToGrid/>
              <w:spacing w:line="300" w:lineRule="exact"/>
              <w:jc w:val="right"/>
              <w:rPr>
                <w:rFonts w:hint="default" w:ascii="Times New Roman" w:hAnsi="Times New Roman" w:eastAsia="方正仿宋_GBK" w:cs="Times New Roman"/>
                <w:i w:val="0"/>
                <w:iCs w:val="0"/>
                <w:color w:val="000000"/>
                <w:sz w:val="22"/>
                <w:szCs w:val="22"/>
                <w:u w:val="none"/>
              </w:rPr>
            </w:pPr>
          </w:p>
        </w:tc>
        <w:tc>
          <w:tcPr>
            <w:tcW w:w="323" w:type="pct"/>
            <w:tcBorders>
              <w:top w:val="nil"/>
              <w:left w:val="nil"/>
              <w:bottom w:val="nil"/>
              <w:right w:val="nil"/>
            </w:tcBorders>
            <w:shd w:val="clear" w:color="auto" w:fill="auto"/>
            <w:noWrap/>
            <w:vAlign w:val="center"/>
          </w:tcPr>
          <w:p w14:paraId="5779EABE">
            <w:pPr>
              <w:keepNext w:val="0"/>
              <w:keepLines w:val="0"/>
              <w:pageBreakBefore w:val="0"/>
              <w:kinsoku/>
              <w:wordWrap/>
              <w:overflowPunct/>
              <w:topLinePunct w:val="0"/>
              <w:autoSpaceDE/>
              <w:autoSpaceDN/>
              <w:bidi w:val="0"/>
              <w:adjustRightInd/>
              <w:snapToGrid/>
              <w:spacing w:line="300" w:lineRule="exact"/>
              <w:jc w:val="right"/>
              <w:rPr>
                <w:rFonts w:hint="default" w:ascii="Times New Roman" w:hAnsi="Times New Roman" w:eastAsia="方正仿宋_GBK" w:cs="Times New Roman"/>
                <w:i w:val="0"/>
                <w:iCs w:val="0"/>
                <w:color w:val="000000"/>
                <w:sz w:val="22"/>
                <w:szCs w:val="22"/>
                <w:u w:val="none"/>
              </w:rPr>
            </w:pPr>
          </w:p>
        </w:tc>
        <w:tc>
          <w:tcPr>
            <w:tcW w:w="738" w:type="pct"/>
            <w:gridSpan w:val="2"/>
            <w:tcBorders>
              <w:top w:val="nil"/>
              <w:left w:val="nil"/>
              <w:bottom w:val="nil"/>
              <w:right w:val="nil"/>
            </w:tcBorders>
            <w:shd w:val="clear" w:color="auto" w:fill="auto"/>
            <w:noWrap/>
            <w:vAlign w:val="center"/>
          </w:tcPr>
          <w:p w14:paraId="5AEE3B9B">
            <w:pPr>
              <w:keepNext w:val="0"/>
              <w:keepLines w:val="0"/>
              <w:pageBreakBefore w:val="0"/>
              <w:widowControl/>
              <w:suppressLineNumbers w:val="0"/>
              <w:kinsoku/>
              <w:wordWrap/>
              <w:overflowPunct/>
              <w:topLinePunct w:val="0"/>
              <w:autoSpaceDE/>
              <w:autoSpaceDN/>
              <w:bidi w:val="0"/>
              <w:adjustRightInd/>
              <w:snapToGrid/>
              <w:spacing w:line="240" w:lineRule="auto"/>
              <w:jc w:val="right"/>
              <w:textAlignment w:val="center"/>
              <w:rPr>
                <w:rFonts w:hint="default" w:ascii="Times New Roman" w:hAnsi="Times New Roman" w:eastAsia="方正仿宋_GBK" w:cs="Times New Roman"/>
                <w:i w:val="0"/>
                <w:iCs w:val="0"/>
                <w:color w:val="000000"/>
                <w:sz w:val="20"/>
                <w:szCs w:val="20"/>
                <w:u w:val="none"/>
              </w:rPr>
            </w:pPr>
            <w:r>
              <w:rPr>
                <w:rStyle w:val="13"/>
                <w:rFonts w:hint="default" w:ascii="Times New Roman" w:hAnsi="Times New Roman" w:eastAsia="方正仿宋_GBK" w:cs="Times New Roman"/>
                <w:sz w:val="24"/>
                <w:szCs w:val="24"/>
                <w:lang w:val="en-US" w:eastAsia="zh-CN" w:bidi="ar"/>
              </w:rPr>
              <w:t>单位：万元</w:t>
            </w:r>
          </w:p>
        </w:tc>
      </w:tr>
      <w:tr w14:paraId="602E4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17C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序号</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C2D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地区</w:t>
            </w:r>
          </w:p>
        </w:tc>
        <w:tc>
          <w:tcPr>
            <w:tcW w:w="108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AF73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截</w:t>
            </w:r>
            <w:r>
              <w:rPr>
                <w:rStyle w:val="15"/>
                <w:rFonts w:hint="default" w:ascii="Times New Roman" w:hAnsi="Times New Roman" w:eastAsia="方正仿宋_GBK" w:cs="Times New Roman"/>
                <w:lang w:val="en-US" w:eastAsia="zh-CN" w:bidi="ar"/>
              </w:rPr>
              <w:t>至</w:t>
            </w:r>
            <w:r>
              <w:rPr>
                <w:rStyle w:val="14"/>
                <w:rFonts w:hint="default" w:ascii="Times New Roman" w:hAnsi="Times New Roman" w:eastAsia="方正仿宋_GBK" w:cs="Times New Roman"/>
                <w:sz w:val="24"/>
                <w:szCs w:val="24"/>
                <w:lang w:val="en-US" w:eastAsia="zh-CN" w:bidi="ar"/>
              </w:rPr>
              <w:t>7</w:t>
            </w:r>
            <w:r>
              <w:rPr>
                <w:rStyle w:val="15"/>
                <w:rFonts w:hint="default" w:ascii="Times New Roman" w:hAnsi="Times New Roman" w:eastAsia="方正仿宋_GBK" w:cs="Times New Roman"/>
                <w:lang w:val="en-US" w:eastAsia="zh-CN" w:bidi="ar"/>
              </w:rPr>
              <w:t>月2</w:t>
            </w:r>
            <w:r>
              <w:rPr>
                <w:rStyle w:val="14"/>
                <w:rFonts w:hint="default" w:ascii="Times New Roman" w:hAnsi="Times New Roman" w:eastAsia="方正仿宋_GBK" w:cs="Times New Roman"/>
                <w:sz w:val="24"/>
                <w:szCs w:val="24"/>
                <w:lang w:val="en-US" w:eastAsia="zh-CN" w:bidi="ar"/>
              </w:rPr>
              <w:t>0日支出情况</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4B66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截</w:t>
            </w:r>
            <w:r>
              <w:rPr>
                <w:rStyle w:val="15"/>
                <w:rFonts w:hint="default" w:ascii="Times New Roman" w:hAnsi="Times New Roman" w:eastAsia="方正仿宋_GBK" w:cs="Times New Roman"/>
                <w:lang w:val="en-US" w:eastAsia="zh-CN" w:bidi="ar"/>
              </w:rPr>
              <w:t>至</w:t>
            </w:r>
            <w:r>
              <w:rPr>
                <w:rStyle w:val="14"/>
                <w:rFonts w:hint="default" w:ascii="Times New Roman" w:hAnsi="Times New Roman" w:eastAsia="方正仿宋_GBK" w:cs="Times New Roman"/>
                <w:sz w:val="24"/>
                <w:szCs w:val="24"/>
                <w:lang w:val="en-US" w:eastAsia="zh-CN" w:bidi="ar"/>
              </w:rPr>
              <w:t>7</w:t>
            </w:r>
            <w:r>
              <w:rPr>
                <w:rStyle w:val="15"/>
                <w:rFonts w:hint="default" w:ascii="Times New Roman" w:hAnsi="Times New Roman" w:eastAsia="方正仿宋_GBK" w:cs="Times New Roman"/>
                <w:lang w:val="en-US" w:eastAsia="zh-CN" w:bidi="ar"/>
              </w:rPr>
              <w:t>月3</w:t>
            </w:r>
            <w:r>
              <w:rPr>
                <w:rStyle w:val="14"/>
                <w:rFonts w:hint="default" w:ascii="Times New Roman" w:hAnsi="Times New Roman" w:eastAsia="方正仿宋_GBK" w:cs="Times New Roman"/>
                <w:sz w:val="24"/>
                <w:szCs w:val="24"/>
                <w:lang w:val="en-US" w:eastAsia="zh-CN" w:bidi="ar"/>
              </w:rPr>
              <w:t>1日支出情况</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637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按</w:t>
            </w:r>
            <w:r>
              <w:rPr>
                <w:rStyle w:val="15"/>
                <w:rFonts w:hint="default" w:ascii="Times New Roman" w:hAnsi="Times New Roman" w:eastAsia="方正仿宋_GBK" w:cs="Times New Roman"/>
                <w:lang w:val="en-US" w:eastAsia="zh-CN" w:bidi="ar"/>
              </w:rPr>
              <w:t>7</w:t>
            </w:r>
            <w:r>
              <w:rPr>
                <w:rStyle w:val="14"/>
                <w:rFonts w:hint="default" w:ascii="Times New Roman" w:hAnsi="Times New Roman" w:eastAsia="方正仿宋_GBK" w:cs="Times New Roman"/>
                <w:sz w:val="24"/>
                <w:szCs w:val="24"/>
                <w:lang w:val="en-US" w:eastAsia="zh-CN" w:bidi="ar"/>
              </w:rPr>
              <w:t>月</w:t>
            </w:r>
            <w:r>
              <w:rPr>
                <w:rStyle w:val="15"/>
                <w:rFonts w:hint="default" w:ascii="Times New Roman" w:hAnsi="Times New Roman" w:eastAsia="方正仿宋_GBK" w:cs="Times New Roman"/>
                <w:lang w:val="en-US" w:eastAsia="zh-CN" w:bidi="ar"/>
              </w:rPr>
              <w:t>20</w:t>
            </w:r>
            <w:r>
              <w:rPr>
                <w:rStyle w:val="14"/>
                <w:rFonts w:hint="default" w:ascii="Times New Roman" w:hAnsi="Times New Roman" w:eastAsia="方正仿宋_GBK" w:cs="Times New Roman"/>
                <w:sz w:val="24"/>
                <w:szCs w:val="24"/>
                <w:lang w:val="en-US" w:eastAsia="zh-CN" w:bidi="ar"/>
              </w:rPr>
              <w:t>日支出进度低于</w:t>
            </w:r>
            <w:r>
              <w:rPr>
                <w:rStyle w:val="15"/>
                <w:rFonts w:hint="default" w:ascii="Times New Roman" w:hAnsi="Times New Roman" w:eastAsia="方正仿宋_GBK" w:cs="Times New Roman"/>
                <w:lang w:val="en-US" w:eastAsia="zh-CN" w:bidi="ar"/>
              </w:rPr>
              <w:t>49.8%</w:t>
            </w:r>
            <w:r>
              <w:rPr>
                <w:rStyle w:val="14"/>
                <w:rFonts w:hint="default" w:ascii="Times New Roman" w:hAnsi="Times New Roman" w:eastAsia="方正仿宋_GBK" w:cs="Times New Roman"/>
                <w:sz w:val="24"/>
                <w:szCs w:val="24"/>
                <w:lang w:val="en-US" w:eastAsia="zh-CN" w:bidi="ar"/>
              </w:rPr>
              <w:t>扣减金额</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3EB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按</w:t>
            </w:r>
            <w:r>
              <w:rPr>
                <w:rStyle w:val="15"/>
                <w:rFonts w:hint="default" w:ascii="Times New Roman" w:hAnsi="Times New Roman" w:eastAsia="方正仿宋_GBK" w:cs="Times New Roman"/>
                <w:lang w:val="en-US" w:eastAsia="zh-CN" w:bidi="ar"/>
              </w:rPr>
              <w:t>7</w:t>
            </w:r>
            <w:r>
              <w:rPr>
                <w:rStyle w:val="14"/>
                <w:rFonts w:hint="default" w:ascii="Times New Roman" w:hAnsi="Times New Roman" w:eastAsia="方正仿宋_GBK" w:cs="Times New Roman"/>
                <w:sz w:val="24"/>
                <w:szCs w:val="24"/>
                <w:lang w:val="en-US" w:eastAsia="zh-CN" w:bidi="ar"/>
              </w:rPr>
              <w:t>月</w:t>
            </w:r>
            <w:r>
              <w:rPr>
                <w:rStyle w:val="15"/>
                <w:rFonts w:hint="default" w:ascii="Times New Roman" w:hAnsi="Times New Roman" w:eastAsia="方正仿宋_GBK" w:cs="Times New Roman"/>
                <w:lang w:val="en-US" w:eastAsia="zh-CN" w:bidi="ar"/>
              </w:rPr>
              <w:t>31</w:t>
            </w:r>
            <w:r>
              <w:rPr>
                <w:rStyle w:val="14"/>
                <w:rFonts w:hint="default" w:ascii="Times New Roman" w:hAnsi="Times New Roman" w:eastAsia="方正仿宋_GBK" w:cs="Times New Roman"/>
                <w:sz w:val="24"/>
                <w:szCs w:val="24"/>
                <w:lang w:val="en-US" w:eastAsia="zh-CN" w:bidi="ar"/>
              </w:rPr>
              <w:t>日支出低于</w:t>
            </w:r>
            <w:r>
              <w:rPr>
                <w:rStyle w:val="15"/>
                <w:rFonts w:hint="default" w:ascii="Times New Roman" w:hAnsi="Times New Roman" w:eastAsia="方正仿宋_GBK" w:cs="Times New Roman"/>
                <w:lang w:val="en-US" w:eastAsia="zh-CN" w:bidi="ar"/>
              </w:rPr>
              <w:t>58.4%</w:t>
            </w:r>
            <w:r>
              <w:rPr>
                <w:rStyle w:val="14"/>
                <w:rFonts w:hint="default" w:ascii="Times New Roman" w:hAnsi="Times New Roman" w:eastAsia="方正仿宋_GBK" w:cs="Times New Roman"/>
                <w:sz w:val="24"/>
                <w:szCs w:val="24"/>
                <w:lang w:val="en-US" w:eastAsia="zh-CN" w:bidi="ar"/>
              </w:rPr>
              <w:t>扣减金额</w:t>
            </w:r>
          </w:p>
        </w:tc>
        <w:tc>
          <w:tcPr>
            <w:tcW w:w="4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E89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按低于序时进度金额扣减资金情况从云财农〔</w:t>
            </w:r>
            <w:r>
              <w:rPr>
                <w:rStyle w:val="15"/>
                <w:rFonts w:hint="default" w:ascii="Times New Roman" w:hAnsi="Times New Roman" w:eastAsia="方正仿宋_GBK" w:cs="Times New Roman"/>
                <w:lang w:val="en-US" w:eastAsia="zh-CN" w:bidi="ar"/>
              </w:rPr>
              <w:t>2025</w:t>
            </w:r>
            <w:r>
              <w:rPr>
                <w:rStyle w:val="14"/>
                <w:rFonts w:hint="default" w:ascii="Times New Roman" w:hAnsi="Times New Roman" w:eastAsia="方正仿宋_GBK" w:cs="Times New Roman"/>
                <w:sz w:val="24"/>
                <w:szCs w:val="24"/>
                <w:lang w:val="en-US" w:eastAsia="zh-CN" w:bidi="ar"/>
              </w:rPr>
              <w:t>〕</w:t>
            </w:r>
            <w:r>
              <w:rPr>
                <w:rStyle w:val="15"/>
                <w:rFonts w:hint="default" w:ascii="Times New Roman" w:hAnsi="Times New Roman" w:eastAsia="方正仿宋_GBK" w:cs="Times New Roman"/>
                <w:lang w:val="en-US" w:eastAsia="zh-CN" w:bidi="ar"/>
              </w:rPr>
              <w:t>179</w:t>
            </w:r>
            <w:r>
              <w:rPr>
                <w:rStyle w:val="14"/>
                <w:rFonts w:hint="default" w:ascii="Times New Roman" w:hAnsi="Times New Roman" w:eastAsia="方正仿宋_GBK" w:cs="Times New Roman"/>
                <w:sz w:val="24"/>
                <w:szCs w:val="24"/>
                <w:lang w:val="en-US" w:eastAsia="zh-CN" w:bidi="ar"/>
              </w:rPr>
              <w:t>号扣回</w:t>
            </w:r>
          </w:p>
        </w:tc>
        <w:tc>
          <w:tcPr>
            <w:tcW w:w="3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674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云财农〔</w:t>
            </w:r>
            <w:r>
              <w:rPr>
                <w:rStyle w:val="15"/>
                <w:rFonts w:hint="default" w:ascii="Times New Roman" w:hAnsi="Times New Roman" w:eastAsia="方正仿宋_GBK" w:cs="Times New Roman"/>
                <w:lang w:val="en-US" w:eastAsia="zh-CN" w:bidi="ar"/>
              </w:rPr>
              <w:t>2026</w:t>
            </w:r>
            <w:r>
              <w:rPr>
                <w:rStyle w:val="14"/>
                <w:rFonts w:hint="default" w:ascii="Times New Roman" w:hAnsi="Times New Roman" w:eastAsia="方正仿宋_GBK" w:cs="Times New Roman"/>
                <w:sz w:val="24"/>
                <w:szCs w:val="24"/>
                <w:lang w:val="en-US" w:eastAsia="zh-CN" w:bidi="ar"/>
              </w:rPr>
              <w:t>〕</w:t>
            </w:r>
            <w:r>
              <w:rPr>
                <w:rStyle w:val="15"/>
                <w:rFonts w:hint="default" w:ascii="Times New Roman" w:hAnsi="Times New Roman" w:eastAsia="方正仿宋_GBK" w:cs="Times New Roman"/>
                <w:lang w:val="en-US" w:eastAsia="zh-CN" w:bidi="ar"/>
              </w:rPr>
              <w:t>95</w:t>
            </w:r>
            <w:r>
              <w:rPr>
                <w:rStyle w:val="14"/>
                <w:rFonts w:hint="default" w:ascii="Times New Roman" w:hAnsi="Times New Roman" w:eastAsia="方正仿宋_GBK" w:cs="Times New Roman"/>
                <w:sz w:val="24"/>
                <w:szCs w:val="24"/>
                <w:lang w:val="en-US" w:eastAsia="zh-CN" w:bidi="ar"/>
              </w:rPr>
              <w:t>号调整情况</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FB3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扣回资金重新安排给支出进度高于全省平均进度的县（市、区）</w:t>
            </w:r>
          </w:p>
        </w:tc>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7E6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各地两次资金调整综合结果</w:t>
            </w:r>
          </w:p>
        </w:tc>
      </w:tr>
      <w:tr w14:paraId="7EBBD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915" w:hRule="atLeast"/>
        </w:trPr>
        <w:tc>
          <w:tcPr>
            <w:tcW w:w="2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ADF17">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9D32A">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967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4"/>
                <w:rFonts w:hint="default" w:ascii="Times New Roman" w:hAnsi="Times New Roman" w:eastAsia="方正仿宋_GBK" w:cs="Times New Roman"/>
                <w:sz w:val="24"/>
                <w:szCs w:val="24"/>
                <w:lang w:val="en-US" w:eastAsia="zh-CN" w:bidi="ar"/>
              </w:rPr>
            </w:pPr>
            <w:r>
              <w:rPr>
                <w:rStyle w:val="14"/>
                <w:rFonts w:hint="default" w:ascii="Times New Roman" w:hAnsi="Times New Roman" w:eastAsia="方正仿宋_GBK" w:cs="Times New Roman"/>
                <w:sz w:val="24"/>
                <w:szCs w:val="24"/>
                <w:lang w:val="en-US" w:eastAsia="zh-CN" w:bidi="ar"/>
              </w:rPr>
              <w:t>资金</w:t>
            </w:r>
          </w:p>
          <w:p w14:paraId="795622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 xml:space="preserve">总量 </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78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已执行</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CE8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执行进度</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ECD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Style w:val="14"/>
                <w:rFonts w:hint="default" w:ascii="Times New Roman" w:hAnsi="Times New Roman" w:eastAsia="方正仿宋_GBK" w:cs="Times New Roman"/>
                <w:sz w:val="24"/>
                <w:szCs w:val="24"/>
                <w:lang w:val="en-US" w:eastAsia="zh-CN" w:bidi="ar"/>
              </w:rPr>
            </w:pPr>
            <w:r>
              <w:rPr>
                <w:rStyle w:val="14"/>
                <w:rFonts w:hint="default" w:ascii="Times New Roman" w:hAnsi="Times New Roman" w:eastAsia="方正仿宋_GBK" w:cs="Times New Roman"/>
                <w:sz w:val="24"/>
                <w:szCs w:val="24"/>
                <w:lang w:val="en-US" w:eastAsia="zh-CN" w:bidi="ar"/>
              </w:rPr>
              <w:t>资金</w:t>
            </w:r>
          </w:p>
          <w:p w14:paraId="4A42C7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总量</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3E1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已执行</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4C9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0"/>
                <w:szCs w:val="20"/>
                <w:u w:val="none"/>
              </w:rPr>
            </w:pPr>
            <w:r>
              <w:rPr>
                <w:rStyle w:val="14"/>
                <w:rFonts w:hint="default" w:ascii="Times New Roman" w:hAnsi="Times New Roman" w:eastAsia="方正仿宋_GBK" w:cs="Times New Roman"/>
                <w:sz w:val="24"/>
                <w:szCs w:val="24"/>
                <w:lang w:val="en-US" w:eastAsia="zh-CN" w:bidi="ar"/>
              </w:rPr>
              <w:t>执行进度</w:t>
            </w: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F2E32">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19B3F">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c>
          <w:tcPr>
            <w:tcW w:w="4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72D4">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c>
          <w:tcPr>
            <w:tcW w:w="3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C5BD0">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0F0A1">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69B74">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0"/>
                <w:szCs w:val="20"/>
                <w:u w:val="none"/>
              </w:rPr>
            </w:pPr>
          </w:p>
        </w:tc>
      </w:tr>
      <w:tr w14:paraId="0868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5743">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2"/>
                <w:szCs w:val="22"/>
                <w:u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D04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Style w:val="16"/>
                <w:rFonts w:hint="default" w:ascii="Times New Roman" w:hAnsi="Times New Roman" w:eastAsia="方正仿宋_GBK" w:cs="Times New Roman"/>
                <w:lang w:val="en-US" w:eastAsia="zh-CN" w:bidi="ar"/>
              </w:rPr>
              <w:t>全省合计</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8F40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2593385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348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1290280</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A14F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49.8%</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6A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2593385</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4C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1562396</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21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60.2%</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EA2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r>
              <w:rPr>
                <w:rFonts w:hint="default" w:ascii="Times New Roman" w:hAnsi="Times New Roman" w:eastAsia="方正仿宋_GBK" w:cs="Times New Roman"/>
                <w:b/>
                <w:bCs/>
                <w:i w:val="0"/>
                <w:iCs w:val="0"/>
                <w:color w:val="000000"/>
                <w:kern w:val="0"/>
                <w:sz w:val="22"/>
                <w:szCs w:val="22"/>
                <w:u w:val="none"/>
                <w:lang w:val="en-US" w:eastAsia="zh-CN" w:bidi="ar"/>
              </w:rPr>
              <w:t>1624</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B10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r>
              <w:rPr>
                <w:rFonts w:hint="default" w:ascii="Times New Roman" w:hAnsi="Times New Roman" w:eastAsia="方正仿宋_GBK" w:cs="Times New Roman"/>
                <w:b/>
                <w:bCs/>
                <w:i w:val="0"/>
                <w:iCs w:val="0"/>
                <w:color w:val="000000"/>
                <w:kern w:val="0"/>
                <w:sz w:val="22"/>
                <w:szCs w:val="22"/>
                <w:u w:val="none"/>
                <w:lang w:val="en-US" w:eastAsia="zh-CN" w:bidi="ar"/>
              </w:rPr>
              <w:t>3082</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1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r>
              <w:rPr>
                <w:rFonts w:hint="default" w:ascii="Times New Roman" w:hAnsi="Times New Roman" w:eastAsia="方正仿宋_GBK" w:cs="Times New Roman"/>
                <w:b/>
                <w:bCs/>
                <w:i w:val="0"/>
                <w:iCs w:val="0"/>
                <w:color w:val="000000"/>
                <w:kern w:val="0"/>
                <w:sz w:val="22"/>
                <w:szCs w:val="22"/>
                <w:u w:val="none"/>
                <w:lang w:val="en-US" w:eastAsia="zh-CN" w:bidi="ar"/>
              </w:rPr>
              <w:t>4706</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93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A6E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4706</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568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0</w:t>
            </w:r>
          </w:p>
        </w:tc>
      </w:tr>
      <w:tr w14:paraId="1C41F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2E8C4">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b/>
                <w:bCs/>
                <w:i w:val="0"/>
                <w:iCs w:val="0"/>
                <w:color w:val="000000"/>
                <w:sz w:val="22"/>
                <w:szCs w:val="22"/>
                <w:u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04A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Style w:val="16"/>
                <w:rFonts w:hint="default" w:ascii="Times New Roman" w:hAnsi="Times New Roman" w:eastAsia="方正仿宋_GBK" w:cs="Times New Roman"/>
                <w:lang w:val="en-US" w:eastAsia="zh-CN" w:bidi="ar"/>
              </w:rPr>
              <w:t>玉溪市</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A05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72129</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870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37060</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CB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51.4%</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3E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72129</w:t>
            </w: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9A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43597</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8F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60.4%</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E6B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0</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D0F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0</w:t>
            </w: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F2D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0</w:t>
            </w: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87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CA8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173</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2B7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b/>
                <w:bCs/>
                <w:i w:val="0"/>
                <w:iCs w:val="0"/>
                <w:color w:val="000000"/>
                <w:sz w:val="22"/>
                <w:szCs w:val="22"/>
                <w:u w:val="none"/>
              </w:rPr>
            </w:pPr>
            <w:r>
              <w:rPr>
                <w:rFonts w:hint="default" w:ascii="Times New Roman" w:hAnsi="Times New Roman" w:eastAsia="方正仿宋_GBK" w:cs="Times New Roman"/>
                <w:b/>
                <w:bCs/>
                <w:i w:val="0"/>
                <w:iCs w:val="0"/>
                <w:color w:val="000000"/>
                <w:kern w:val="0"/>
                <w:sz w:val="22"/>
                <w:szCs w:val="22"/>
                <w:u w:val="none"/>
                <w:lang w:val="en-US" w:eastAsia="zh-CN" w:bidi="ar"/>
              </w:rPr>
              <w:t>173</w:t>
            </w:r>
          </w:p>
        </w:tc>
      </w:tr>
      <w:tr w14:paraId="210BA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19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EE9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Style w:val="17"/>
                <w:rFonts w:hint="default" w:ascii="Times New Roman" w:hAnsi="Times New Roman" w:eastAsia="方正仿宋_GBK" w:cs="Times New Roman"/>
                <w:lang w:val="en-US" w:eastAsia="zh-CN" w:bidi="ar"/>
              </w:rPr>
              <w:t>华宁县</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848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6447</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01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3241</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9896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50.3%</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9EB7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6447</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F51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3892</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20A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60.4%</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5CA5">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A3FB">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9FA1F">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D9A63">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DF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51</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A6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51</w:t>
            </w:r>
          </w:p>
        </w:tc>
      </w:tr>
      <w:tr w14:paraId="14782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94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58C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Style w:val="17"/>
                <w:rFonts w:hint="default" w:ascii="Times New Roman" w:hAnsi="Times New Roman" w:eastAsia="方正仿宋_GBK" w:cs="Times New Roman"/>
                <w:lang w:val="en-US" w:eastAsia="zh-CN" w:bidi="ar"/>
              </w:rPr>
              <w:t>峨山县</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14B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8862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CED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4419</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C9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49.9%</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234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8862</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CC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5369</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B0A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60.6%</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3047F">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B866">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5EDF">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C8B96">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C0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56</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A2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56</w:t>
            </w:r>
          </w:p>
        </w:tc>
      </w:tr>
      <w:tr w14:paraId="6C575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BD16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899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Style w:val="17"/>
                <w:rFonts w:hint="default" w:ascii="Times New Roman" w:hAnsi="Times New Roman" w:eastAsia="方正仿宋_GBK" w:cs="Times New Roman"/>
                <w:lang w:val="en-US" w:eastAsia="zh-CN" w:bidi="ar"/>
              </w:rPr>
              <w:t>元江县</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268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12850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B5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6767</w:t>
            </w:r>
          </w:p>
        </w:tc>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9CC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52.7%</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0B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12850</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CA1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7883</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F4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61.3%</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4D41D">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9319">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4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D2DB5">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F288">
            <w:pPr>
              <w:keepNext w:val="0"/>
              <w:keepLines w:val="0"/>
              <w:pageBreakBefore w:val="0"/>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iCs w:val="0"/>
                <w:color w:val="000000"/>
                <w:sz w:val="22"/>
                <w:szCs w:val="22"/>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F7F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66</w:t>
            </w:r>
          </w:p>
        </w:tc>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97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iCs w:val="0"/>
                <w:color w:val="000000"/>
                <w:sz w:val="22"/>
                <w:szCs w:val="22"/>
                <w:u w:val="none"/>
              </w:rPr>
            </w:pPr>
            <w:r>
              <w:rPr>
                <w:rFonts w:hint="default" w:ascii="Times New Roman" w:hAnsi="Times New Roman" w:eastAsia="方正仿宋_GBK" w:cs="Times New Roman"/>
                <w:i w:val="0"/>
                <w:iCs w:val="0"/>
                <w:color w:val="000000"/>
                <w:kern w:val="0"/>
                <w:sz w:val="22"/>
                <w:szCs w:val="22"/>
                <w:u w:val="none"/>
                <w:lang w:val="en-US" w:eastAsia="zh-CN" w:bidi="ar"/>
              </w:rPr>
              <w:t>66</w:t>
            </w:r>
          </w:p>
        </w:tc>
      </w:tr>
    </w:tbl>
    <w:p w14:paraId="08EC8E39">
      <w:pPr>
        <w:keepNext w:val="0"/>
        <w:keepLines w:val="0"/>
        <w:pageBreakBefore w:val="0"/>
        <w:kinsoku/>
        <w:wordWrap/>
        <w:overflowPunct/>
        <w:topLinePunct w:val="0"/>
        <w:autoSpaceDE/>
        <w:autoSpaceDN/>
        <w:bidi w:val="0"/>
        <w:adjustRightInd/>
        <w:snapToGrid/>
        <w:spacing w:line="300" w:lineRule="exact"/>
        <w:rPr>
          <w:rFonts w:hint="default" w:ascii="Times New Roman" w:hAnsi="Times New Roman" w:eastAsia="方正仿宋_GBK" w:cs="Times New Roman"/>
        </w:rPr>
      </w:pPr>
      <w:r>
        <w:rPr>
          <w:rFonts w:hint="default" w:ascii="Times New Roman" w:hAnsi="Times New Roman" w:eastAsia="方正仿宋_GBK" w:cs="Times New Roman"/>
        </w:rPr>
        <w:br w:type="page"/>
      </w:r>
    </w:p>
    <w:p w14:paraId="5B10C623">
      <w:pPr>
        <w:pStyle w:val="2"/>
        <w:rPr>
          <w:rFonts w:hint="default" w:ascii="Times New Roman" w:hAnsi="Times New Roman" w:cs="Times New Roman"/>
        </w:rPr>
        <w:sectPr>
          <w:pgSz w:w="16838" w:h="11906" w:orient="landscape"/>
          <w:pgMar w:top="1440" w:right="1080" w:bottom="1440" w:left="1080" w:header="1361" w:footer="1191" w:gutter="0"/>
          <w:pgNumType w:fmt="decimal"/>
          <w:cols w:space="0" w:num="1"/>
          <w:rtlGutter w:val="0"/>
          <w:docGrid w:type="linesAndChars" w:linePitch="315" w:charSpace="950"/>
        </w:sectPr>
      </w:pPr>
    </w:p>
    <w:p w14:paraId="63C76024">
      <w:pPr>
        <w:pStyle w:val="2"/>
        <w:rPr>
          <w:rFonts w:hint="default" w:ascii="Times New Roman" w:hAnsi="Times New Roman" w:cs="Times New Roman"/>
        </w:rPr>
      </w:pPr>
    </w:p>
    <w:p w14:paraId="4C0CA6D0">
      <w:pPr>
        <w:pStyle w:val="2"/>
        <w:ind w:left="0" w:leftChars="0" w:firstLine="0" w:firstLineChars="0"/>
        <w:rPr>
          <w:rFonts w:hint="default" w:ascii="Times New Roman" w:hAnsi="Times New Roman" w:cs="Times New Roman"/>
        </w:rPr>
      </w:pPr>
    </w:p>
    <w:p w14:paraId="14DDAE18">
      <w:pPr>
        <w:pStyle w:val="2"/>
        <w:ind w:left="0" w:leftChars="0" w:firstLine="0" w:firstLineChars="0"/>
        <w:rPr>
          <w:rFonts w:hint="default" w:ascii="Times New Roman" w:hAnsi="Times New Roman" w:cs="Times New Roman"/>
        </w:rPr>
      </w:pPr>
    </w:p>
    <w:p w14:paraId="072C285F">
      <w:pPr>
        <w:pStyle w:val="2"/>
        <w:ind w:left="0" w:leftChars="0" w:firstLine="0" w:firstLineChars="0"/>
        <w:rPr>
          <w:rFonts w:hint="default" w:ascii="Times New Roman" w:hAnsi="Times New Roman" w:cs="Times New Roman"/>
        </w:rPr>
      </w:pPr>
    </w:p>
    <w:p w14:paraId="4A40C1EF">
      <w:pPr>
        <w:pStyle w:val="2"/>
        <w:ind w:left="0" w:leftChars="0" w:firstLine="0" w:firstLineChars="0"/>
        <w:rPr>
          <w:rFonts w:hint="default" w:ascii="Times New Roman" w:hAnsi="Times New Roman" w:cs="Times New Roman"/>
        </w:rPr>
      </w:pPr>
    </w:p>
    <w:p w14:paraId="386E76FF">
      <w:pPr>
        <w:pStyle w:val="2"/>
        <w:ind w:left="0" w:leftChars="0" w:firstLine="0" w:firstLineChars="0"/>
        <w:rPr>
          <w:rFonts w:hint="default" w:ascii="Times New Roman" w:hAnsi="Times New Roman" w:cs="Times New Roman"/>
        </w:rPr>
      </w:pPr>
    </w:p>
    <w:p w14:paraId="187B3F15">
      <w:pPr>
        <w:pStyle w:val="2"/>
        <w:ind w:left="0" w:leftChars="0" w:firstLine="0" w:firstLineChars="0"/>
        <w:rPr>
          <w:rFonts w:hint="default" w:ascii="Times New Roman" w:hAnsi="Times New Roman" w:cs="Times New Roman"/>
        </w:rPr>
      </w:pPr>
    </w:p>
    <w:p w14:paraId="3EE04A00">
      <w:pPr>
        <w:pStyle w:val="2"/>
        <w:ind w:left="0" w:leftChars="0" w:firstLine="0" w:firstLineChars="0"/>
        <w:rPr>
          <w:rFonts w:hint="default" w:ascii="Times New Roman" w:hAnsi="Times New Roman" w:cs="Times New Roman"/>
        </w:rPr>
      </w:pPr>
    </w:p>
    <w:p w14:paraId="2CA88095">
      <w:pPr>
        <w:pStyle w:val="2"/>
        <w:ind w:left="0" w:leftChars="0" w:firstLine="0" w:firstLineChars="0"/>
        <w:rPr>
          <w:rFonts w:hint="default" w:ascii="Times New Roman" w:hAnsi="Times New Roman" w:cs="Times New Roman"/>
        </w:rPr>
      </w:pPr>
    </w:p>
    <w:p w14:paraId="336746D4">
      <w:pPr>
        <w:pStyle w:val="2"/>
        <w:ind w:left="0" w:leftChars="0" w:firstLine="0" w:firstLineChars="0"/>
        <w:rPr>
          <w:rFonts w:hint="default" w:ascii="Times New Roman" w:hAnsi="Times New Roman" w:cs="Times New Roman"/>
        </w:rPr>
      </w:pPr>
    </w:p>
    <w:p w14:paraId="372B9F24">
      <w:pPr>
        <w:pStyle w:val="2"/>
        <w:ind w:left="0" w:leftChars="0" w:firstLine="0" w:firstLineChars="0"/>
        <w:rPr>
          <w:rFonts w:hint="default" w:ascii="Times New Roman" w:hAnsi="Times New Roman" w:cs="Times New Roman"/>
        </w:rPr>
      </w:pPr>
    </w:p>
    <w:p w14:paraId="782088D9">
      <w:pPr>
        <w:pStyle w:val="2"/>
        <w:ind w:left="0" w:leftChars="0" w:firstLine="0" w:firstLineChars="0"/>
        <w:rPr>
          <w:rFonts w:hint="default" w:ascii="Times New Roman" w:hAnsi="Times New Roman" w:cs="Times New Roman"/>
        </w:rPr>
      </w:pPr>
    </w:p>
    <w:p w14:paraId="5696BFA1">
      <w:pPr>
        <w:pStyle w:val="2"/>
        <w:ind w:left="0" w:leftChars="0" w:firstLine="0" w:firstLineChars="0"/>
        <w:rPr>
          <w:rFonts w:hint="default" w:ascii="Times New Roman" w:hAnsi="Times New Roman" w:cs="Times New Roman"/>
        </w:rPr>
      </w:pPr>
    </w:p>
    <w:p w14:paraId="4B28623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0F8DFBC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21E0E56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5DCF318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44B98617">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002A55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27368CB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7B93AD3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left"/>
        <w:textAlignment w:val="auto"/>
        <w:outlineLvl w:val="9"/>
        <w:rPr>
          <w:rFonts w:hint="default" w:ascii="Times New Roman" w:hAnsi="Times New Roman" w:eastAsia="方正仿宋_GBK" w:cs="Times New Roman"/>
          <w:sz w:val="28"/>
          <w:szCs w:val="28"/>
          <w:lang w:val="en-US" w:eastAsia="zh-CN"/>
        </w:rPr>
      </w:pPr>
    </w:p>
    <w:p w14:paraId="7D3D0C3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textAlignment w:val="auto"/>
        <w:outlineLvl w:val="9"/>
        <w:rPr>
          <w:rFonts w:hint="default" w:ascii="Times New Roman" w:hAnsi="Times New Roman" w:cs="Times New Roman"/>
        </w:rPr>
      </w:pPr>
      <w:r>
        <w:rPr>
          <w:rFonts w:hint="default" w:ascii="Times New Roman" w:hAnsi="Times New Roman" w:eastAsia="方正仿宋_GBK" w:cs="Times New Roman"/>
        </w:rPr>
        <mc:AlternateContent>
          <mc:Choice Requires="wps">
            <w:drawing>
              <wp:anchor distT="0" distB="0" distL="114300" distR="114300" simplePos="0" relativeHeight="251661312" behindDoc="0" locked="0" layoutInCell="1" allowOverlap="1">
                <wp:simplePos x="0" y="0"/>
                <wp:positionH relativeFrom="column">
                  <wp:posOffset>23495</wp:posOffset>
                </wp:positionH>
                <wp:positionV relativeFrom="paragraph">
                  <wp:posOffset>321945</wp:posOffset>
                </wp:positionV>
                <wp:extent cx="568769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87695" cy="635"/>
                        </a:xfrm>
                        <a:prstGeom prst="line">
                          <a:avLst/>
                        </a:prstGeom>
                        <a:ln w="4444"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5pt;margin-top:25.35pt;height:0.05pt;width:447.85pt;z-index:251661312;mso-width-relative:page;mso-height-relative:page;" filled="f" stroked="t" coordsize="21600,21600" o:gfxdata="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GJBbp1gAAAAcBAAAPAAAAAAAAAAEAIAAAACIAAABkcnMvZG93bnJldi54bWxQSwEC&#10;FAAUAAAACACHTuJAhV2amvYBAADmAwAADgAAAAAAAAABACAAAAAlAQAAZHJzL2Uyb0RvYy54bWxQ&#10;SwUGAAAAAAYABgBZAQAAjQUAAAAA&#10;">
                <v:fill on="f" focussize="0,0"/>
                <v:stroke weight="0.34992125984252pt" color="#000000" joinstyle="round"/>
                <v:imagedata o:title=""/>
                <o:lock v:ext="edit" aspectratio="f"/>
              </v:line>
            </w:pict>
          </mc:Fallback>
        </mc:AlternateContent>
      </w:r>
      <w:r>
        <w:rPr>
          <w:rFonts w:hint="default" w:ascii="Times New Roman" w:hAnsi="Times New Roman" w:eastAsia="方正仿宋_GBK" w:cs="Times New Roman"/>
        </w:rPr>
        <mc:AlternateContent>
          <mc:Choice Requires="wps">
            <w:drawing>
              <wp:anchor distT="0" distB="0" distL="114300" distR="114300" simplePos="0" relativeHeight="251662336" behindDoc="0" locked="0" layoutInCell="1" allowOverlap="1">
                <wp:simplePos x="0" y="0"/>
                <wp:positionH relativeFrom="column">
                  <wp:posOffset>22860</wp:posOffset>
                </wp:positionH>
                <wp:positionV relativeFrom="paragraph">
                  <wp:posOffset>28575</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2.25pt;height:0.05pt;width:447.85pt;z-index:251662336;mso-width-relative:page;mso-height-relative:page;" filled="f" stroked="t" coordsize="21600,21600" o:gfxdata="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YedmbVAAAABQEAAA8AAAAAAAAAAQAgAAAAIgAAAGRycy9kb3ducmV2LnhtbFBLAQIU&#10;ABQAAAAIAIdO4kDInNTr9gEAAOYDAAAOAAAAAAAAAAEAIAAAACQBAABkcnMvZTJvRG9jLnhtbFBL&#10;BQYAAAAABgAGAFkBAACM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玉溪市财政局办公室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eastAsia"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lang w:eastAsia="zh-CN"/>
        </w:rPr>
        <w:t>202</w:t>
      </w:r>
      <w:r>
        <w:rPr>
          <w:rFonts w:hint="eastAsia" w:ascii="Times New Roman" w:hAnsi="Times New Roman" w:eastAsia="方正仿宋_GBK" w:cs="Times New Roman"/>
          <w:sz w:val="28"/>
          <w:szCs w:val="28"/>
          <w:lang w:val="en-US" w:eastAsia="zh-CN"/>
        </w:rPr>
        <w:t>6</w:t>
      </w:r>
      <w:r>
        <w:rPr>
          <w:rFonts w:hint="default" w:ascii="Times New Roman" w:hAnsi="Times New Roman" w:eastAsia="方正仿宋_GBK" w:cs="Times New Roman"/>
          <w:sz w:val="28"/>
          <w:szCs w:val="28"/>
          <w:lang w:eastAsia="zh-CN"/>
        </w:rPr>
        <w:t>年</w:t>
      </w:r>
      <w:r>
        <w:rPr>
          <w:rFonts w:hint="eastAsia" w:ascii="Times New Roman" w:hAnsi="Times New Roman" w:eastAsia="方正仿宋_GBK" w:cs="Times New Roman"/>
          <w:sz w:val="28"/>
          <w:szCs w:val="28"/>
          <w:lang w:val="en-US" w:eastAsia="zh-CN"/>
        </w:rPr>
        <w:t>8</w:t>
      </w:r>
      <w:r>
        <w:rPr>
          <w:rFonts w:hint="default"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31</w:t>
      </w:r>
      <w:r>
        <w:rPr>
          <w:rFonts w:hint="default" w:ascii="Times New Roman" w:hAnsi="Times New Roman" w:eastAsia="方正仿宋_GBK" w:cs="Times New Roman"/>
          <w:sz w:val="28"/>
          <w:szCs w:val="28"/>
        </w:rPr>
        <w:t>日印发</w:t>
      </w:r>
      <w:r>
        <w:rPr>
          <w:rFonts w:hint="default" w:ascii="Times New Roman" w:hAnsi="Times New Roman" w:eastAsia="方正仿宋_GBK" w:cs="Times New Roman"/>
          <w:sz w:val="28"/>
          <w:szCs w:val="28"/>
          <w:lang w:val="en-US" w:eastAsia="zh-CN"/>
        </w:rPr>
        <w:t xml:space="preserve">  </w:t>
      </w:r>
    </w:p>
    <w:sectPr>
      <w:footerReference r:id="rId5" w:type="default"/>
      <w:footerReference r:id="rId6" w:type="even"/>
      <w:pgSz w:w="11906" w:h="16838"/>
      <w:pgMar w:top="2041" w:right="1474" w:bottom="1304" w:left="1587" w:header="1361" w:footer="1191" w:gutter="0"/>
      <w:pgNumType w:fmt="decimal"/>
      <w:cols w:space="0" w:num="1"/>
      <w:rtlGutter w:val="0"/>
      <w:docGrid w:type="linesAndChars" w:linePitch="315" w:charSpace="9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公文小标宋简">
    <w:altName w:val="方正小标宋_GBK"/>
    <w:panose1 w:val="00000000000000000000"/>
    <w:charset w:val="86"/>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F64F0">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249B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E249B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DCACF">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7E84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67E843">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AE478">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7DC03">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07"/>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94B65"/>
    <w:rsid w:val="002263C9"/>
    <w:rsid w:val="02166FE3"/>
    <w:rsid w:val="03C02AAA"/>
    <w:rsid w:val="042E26EB"/>
    <w:rsid w:val="04DE7E1A"/>
    <w:rsid w:val="06CE4628"/>
    <w:rsid w:val="079319BB"/>
    <w:rsid w:val="089F6692"/>
    <w:rsid w:val="09451C03"/>
    <w:rsid w:val="0ADA2CF7"/>
    <w:rsid w:val="0D0167AE"/>
    <w:rsid w:val="0EE27D0C"/>
    <w:rsid w:val="100B4360"/>
    <w:rsid w:val="1053599C"/>
    <w:rsid w:val="106629F0"/>
    <w:rsid w:val="1163286A"/>
    <w:rsid w:val="11CF5A56"/>
    <w:rsid w:val="11F978B4"/>
    <w:rsid w:val="120065EA"/>
    <w:rsid w:val="128A05FF"/>
    <w:rsid w:val="136617BC"/>
    <w:rsid w:val="13BB7255"/>
    <w:rsid w:val="13CA10BB"/>
    <w:rsid w:val="141E7371"/>
    <w:rsid w:val="1512562B"/>
    <w:rsid w:val="15CB6690"/>
    <w:rsid w:val="17423139"/>
    <w:rsid w:val="17812A5A"/>
    <w:rsid w:val="179E7BB3"/>
    <w:rsid w:val="17AE1880"/>
    <w:rsid w:val="181E5E13"/>
    <w:rsid w:val="18273A83"/>
    <w:rsid w:val="19EA222E"/>
    <w:rsid w:val="1B6A1D12"/>
    <w:rsid w:val="1D5925D3"/>
    <w:rsid w:val="1DC843C1"/>
    <w:rsid w:val="1E813120"/>
    <w:rsid w:val="204A5285"/>
    <w:rsid w:val="20C05109"/>
    <w:rsid w:val="212A2396"/>
    <w:rsid w:val="21536DBC"/>
    <w:rsid w:val="21FD21D9"/>
    <w:rsid w:val="222A710D"/>
    <w:rsid w:val="246A4993"/>
    <w:rsid w:val="25786BB4"/>
    <w:rsid w:val="284A4C23"/>
    <w:rsid w:val="28C17F3E"/>
    <w:rsid w:val="29B661FB"/>
    <w:rsid w:val="2BD334E4"/>
    <w:rsid w:val="2CF94B65"/>
    <w:rsid w:val="2D1E779E"/>
    <w:rsid w:val="2DA263D1"/>
    <w:rsid w:val="2E61379F"/>
    <w:rsid w:val="2EC86A83"/>
    <w:rsid w:val="30125396"/>
    <w:rsid w:val="30537BFD"/>
    <w:rsid w:val="31060809"/>
    <w:rsid w:val="3109763C"/>
    <w:rsid w:val="31C331A8"/>
    <w:rsid w:val="323E5721"/>
    <w:rsid w:val="32723386"/>
    <w:rsid w:val="328112B2"/>
    <w:rsid w:val="32B51F98"/>
    <w:rsid w:val="33401FA5"/>
    <w:rsid w:val="335234DC"/>
    <w:rsid w:val="34593E90"/>
    <w:rsid w:val="34E005DE"/>
    <w:rsid w:val="35A85D44"/>
    <w:rsid w:val="36D60702"/>
    <w:rsid w:val="3763266A"/>
    <w:rsid w:val="37C253FF"/>
    <w:rsid w:val="38535C93"/>
    <w:rsid w:val="39891084"/>
    <w:rsid w:val="3AFE32EC"/>
    <w:rsid w:val="3BBA6E0C"/>
    <w:rsid w:val="3CA7732D"/>
    <w:rsid w:val="3CE70777"/>
    <w:rsid w:val="3F577CD3"/>
    <w:rsid w:val="3F786788"/>
    <w:rsid w:val="440B69F7"/>
    <w:rsid w:val="44B96107"/>
    <w:rsid w:val="45C26C2F"/>
    <w:rsid w:val="471758DA"/>
    <w:rsid w:val="471B66B6"/>
    <w:rsid w:val="472D3258"/>
    <w:rsid w:val="47437353"/>
    <w:rsid w:val="49F57666"/>
    <w:rsid w:val="4B5C7369"/>
    <w:rsid w:val="4BFF6906"/>
    <w:rsid w:val="4CEB05BD"/>
    <w:rsid w:val="4D467DD5"/>
    <w:rsid w:val="4EAD16E6"/>
    <w:rsid w:val="4EFE5977"/>
    <w:rsid w:val="50324F47"/>
    <w:rsid w:val="51162C16"/>
    <w:rsid w:val="51683632"/>
    <w:rsid w:val="52603F5A"/>
    <w:rsid w:val="526D718E"/>
    <w:rsid w:val="5276535E"/>
    <w:rsid w:val="53043434"/>
    <w:rsid w:val="530D6D8F"/>
    <w:rsid w:val="534D0242"/>
    <w:rsid w:val="53F2715B"/>
    <w:rsid w:val="5460780E"/>
    <w:rsid w:val="54B17384"/>
    <w:rsid w:val="54C050C6"/>
    <w:rsid w:val="54F20968"/>
    <w:rsid w:val="55246094"/>
    <w:rsid w:val="560A62B0"/>
    <w:rsid w:val="565437FD"/>
    <w:rsid w:val="5A15431D"/>
    <w:rsid w:val="5C584A0D"/>
    <w:rsid w:val="5CAA330E"/>
    <w:rsid w:val="5D3B14B2"/>
    <w:rsid w:val="60527728"/>
    <w:rsid w:val="60A73F95"/>
    <w:rsid w:val="61673C22"/>
    <w:rsid w:val="61AF2F50"/>
    <w:rsid w:val="61CA1B71"/>
    <w:rsid w:val="63155D2A"/>
    <w:rsid w:val="6375258C"/>
    <w:rsid w:val="64472A8E"/>
    <w:rsid w:val="644843C2"/>
    <w:rsid w:val="67180834"/>
    <w:rsid w:val="67B90E71"/>
    <w:rsid w:val="67E5214E"/>
    <w:rsid w:val="6A332135"/>
    <w:rsid w:val="6A443C92"/>
    <w:rsid w:val="6A4C654C"/>
    <w:rsid w:val="6C5A5F25"/>
    <w:rsid w:val="6D1215C1"/>
    <w:rsid w:val="6D382F3C"/>
    <w:rsid w:val="6E825BB4"/>
    <w:rsid w:val="70737E9C"/>
    <w:rsid w:val="71BA3021"/>
    <w:rsid w:val="7379604F"/>
    <w:rsid w:val="74EC59C0"/>
    <w:rsid w:val="75706E4F"/>
    <w:rsid w:val="764220F8"/>
    <w:rsid w:val="77F3203F"/>
    <w:rsid w:val="7A446DF5"/>
    <w:rsid w:val="7B1D2EFA"/>
    <w:rsid w:val="7C3D62BD"/>
    <w:rsid w:val="7CA135E2"/>
    <w:rsid w:val="7CEB7B2B"/>
    <w:rsid w:val="7D0D1339"/>
    <w:rsid w:val="7D805DF5"/>
    <w:rsid w:val="7DB46D0D"/>
    <w:rsid w:val="7EFF7151"/>
    <w:rsid w:val="CDBB13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630"/>
    </w:pPr>
    <w:rPr>
      <w:rFonts w:ascii="Times New Roman" w:hAnsi="Times New Roman" w:eastAsia="仿宋_GB2312"/>
      <w:kern w:val="0"/>
      <w:sz w:val="32"/>
      <w:szCs w:val="20"/>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heme="minorHAnsi" w:hAnsiTheme="minorHAnsi" w:eastAsiaTheme="minorEastAsia" w:cstheme="minorBidi"/>
      <w:sz w:val="18"/>
      <w:szCs w:val="18"/>
    </w:rPr>
  </w:style>
  <w:style w:type="character" w:customStyle="1" w:styleId="9">
    <w:name w:val="页脚 Char"/>
    <w:basedOn w:val="7"/>
    <w:link w:val="3"/>
    <w:qFormat/>
    <w:uiPriority w:val="99"/>
    <w:rPr>
      <w:rFonts w:asciiTheme="minorHAnsi" w:hAnsiTheme="minorHAnsi" w:eastAsiaTheme="minorEastAsia" w:cstheme="minorBidi"/>
      <w:sz w:val="18"/>
      <w:szCs w:val="18"/>
    </w:rPr>
  </w:style>
  <w:style w:type="character" w:customStyle="1" w:styleId="10">
    <w:name w:val="font21"/>
    <w:basedOn w:val="7"/>
    <w:qFormat/>
    <w:uiPriority w:val="0"/>
    <w:rPr>
      <w:rFonts w:hint="eastAsia" w:ascii="宋体" w:hAnsi="宋体" w:eastAsia="宋体" w:cs="宋体"/>
      <w:color w:val="000000"/>
      <w:sz w:val="20"/>
      <w:szCs w:val="20"/>
      <w:u w:val="none"/>
    </w:rPr>
  </w:style>
  <w:style w:type="paragraph" w:customStyle="1" w:styleId="11">
    <w:name w:val="抄 送"/>
    <w:basedOn w:val="12"/>
    <w:qFormat/>
    <w:uiPriority w:val="0"/>
    <w:rPr>
      <w:rFonts w:ascii="Times New Roman" w:hAnsi="Times New Roman" w:eastAsia="仿宋_GB2312"/>
      <w:sz w:val="32"/>
      <w:szCs w:val="20"/>
    </w:rPr>
  </w:style>
  <w:style w:type="paragraph" w:customStyle="1" w:styleId="12">
    <w:name w:val="主题词"/>
    <w:basedOn w:val="1"/>
    <w:qFormat/>
    <w:uiPriority w:val="0"/>
    <w:pPr>
      <w:ind w:left="1246" w:hanging="1246"/>
    </w:pPr>
    <w:rPr>
      <w:rFonts w:eastAsia="公文小标宋简"/>
    </w:rPr>
  </w:style>
  <w:style w:type="character" w:customStyle="1" w:styleId="13">
    <w:name w:val="font101"/>
    <w:basedOn w:val="7"/>
    <w:qFormat/>
    <w:uiPriority w:val="0"/>
    <w:rPr>
      <w:rFonts w:ascii="方正仿宋_GBK" w:hAnsi="方正仿宋_GBK" w:eastAsia="方正仿宋_GBK" w:cs="方正仿宋_GBK"/>
      <w:color w:val="000000"/>
      <w:sz w:val="20"/>
      <w:szCs w:val="20"/>
      <w:u w:val="none"/>
    </w:rPr>
  </w:style>
  <w:style w:type="character" w:customStyle="1" w:styleId="14">
    <w:name w:val="font112"/>
    <w:basedOn w:val="7"/>
    <w:qFormat/>
    <w:uiPriority w:val="0"/>
    <w:rPr>
      <w:rFonts w:hint="eastAsia" w:ascii="方正仿宋_GBK" w:hAnsi="方正仿宋_GBK" w:eastAsia="方正仿宋_GBK" w:cs="方正仿宋_GBK"/>
      <w:b/>
      <w:bCs/>
      <w:color w:val="000000"/>
      <w:sz w:val="20"/>
      <w:szCs w:val="20"/>
      <w:u w:val="none"/>
    </w:rPr>
  </w:style>
  <w:style w:type="character" w:customStyle="1" w:styleId="15">
    <w:name w:val="font31"/>
    <w:basedOn w:val="7"/>
    <w:qFormat/>
    <w:uiPriority w:val="0"/>
    <w:rPr>
      <w:rFonts w:hint="default" w:ascii="Times New Roman" w:hAnsi="Times New Roman" w:cs="Times New Roman"/>
      <w:b/>
      <w:bCs/>
      <w:color w:val="000000"/>
      <w:sz w:val="20"/>
      <w:szCs w:val="20"/>
      <w:u w:val="none"/>
    </w:rPr>
  </w:style>
  <w:style w:type="character" w:customStyle="1" w:styleId="16">
    <w:name w:val="font121"/>
    <w:basedOn w:val="7"/>
    <w:qFormat/>
    <w:uiPriority w:val="0"/>
    <w:rPr>
      <w:rFonts w:hint="eastAsia" w:ascii="方正仿宋_GBK" w:hAnsi="方正仿宋_GBK" w:eastAsia="方正仿宋_GBK" w:cs="方正仿宋_GBK"/>
      <w:b/>
      <w:bCs/>
      <w:color w:val="000000"/>
      <w:sz w:val="22"/>
      <w:szCs w:val="22"/>
      <w:u w:val="none"/>
    </w:rPr>
  </w:style>
  <w:style w:type="character" w:customStyle="1" w:styleId="17">
    <w:name w:val="font131"/>
    <w:basedOn w:val="7"/>
    <w:qFormat/>
    <w:uiPriority w:val="0"/>
    <w:rPr>
      <w:rFonts w:hint="eastAsia" w:ascii="方正仿宋_GBK" w:hAns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6</Pages>
  <Words>53</Words>
  <Characters>305</Characters>
  <Lines>2</Lines>
  <Paragraphs>1</Paragraphs>
  <TotalTime>7</TotalTime>
  <ScaleCrop>false</ScaleCrop>
  <LinksUpToDate>false</LinksUpToDate>
  <CharactersWithSpaces>357</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2018-09-06T09:32:00Z</dcterms:created>
  <dc:creator>市财政局</dc:creator>
  <cp:lastModifiedBy>user</cp:lastModifiedBy>
  <dcterms:modified xsi:type="dcterms:W3CDTF">2026-11-06T15:27:48Z</dcterms:modified>
  <dc:title>玉溪市财政局文件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docranid">
    <vt:lpwstr>457DDD9DFF5447448CF2D47B17CDF9FC</vt:lpwstr>
  </property>
  <property fmtid="{D5CDD505-2E9C-101B-9397-08002B2CF9AE}" pid="4" name="ICV">
    <vt:lpwstr>BEB453D13C8DD0DB7481ED6A96DCC709_43</vt:lpwstr>
  </property>
</Properties>
</file>