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lang w:val="en-US" w:eastAsia="zh-CN"/>
        </w:rPr>
        <w:t>玉溪市公路工程质量监督站2025</w:t>
      </w:r>
      <w:r>
        <w:rPr>
          <w:rFonts w:hint="eastAsia" w:ascii="方正小标宋简体" w:hAnsi="方正小标宋简体" w:eastAsia="方正小标宋简体" w:cs="方正小标宋简体"/>
          <w:sz w:val="36"/>
          <w:szCs w:val="36"/>
          <w:highlight w:val="none"/>
        </w:rPr>
        <w:t>年度部门决算</w:t>
      </w:r>
    </w:p>
    <w:p>
      <w:pPr>
        <w:jc w:val="center"/>
        <w:rPr>
          <w:rFonts w:hint="eastAsia" w:ascii="方正小标宋简体" w:hAnsi="方正小标宋简体" w:eastAsia="方正小标宋简体" w:cs="方正小标宋简体"/>
          <w:sz w:val="36"/>
          <w:szCs w:val="36"/>
          <w:highlight w:val="none"/>
        </w:rPr>
      </w:pPr>
    </w:p>
    <w:p>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pPr>
        <w:jc w:val="left"/>
        <w:rPr>
          <w:rFonts w:hint="eastAsia" w:ascii="黑体" w:hAnsi="黑体" w:eastAsia="黑体"/>
          <w:sz w:val="30"/>
          <w:szCs w:val="30"/>
          <w:highlight w:val="none"/>
        </w:rPr>
      </w:pP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both"/>
        <w:rPr>
          <w:rFonts w:hint="eastAsia" w:ascii="黑体" w:hAnsi="黑体" w:eastAsia="黑体"/>
          <w:sz w:val="32"/>
          <w:szCs w:val="32"/>
          <w:highlight w:val="none"/>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pPr>
        <w:pStyle w:val="2"/>
        <w:adjustRightInd w:val="0"/>
        <w:snapToGrid w:val="0"/>
        <w:spacing w:line="600" w:lineRule="exact"/>
        <w:ind w:firstLine="630" w:firstLineChars="210"/>
        <w:rPr>
          <w:rFonts w:hint="eastAsia"/>
          <w:bCs/>
          <w:szCs w:val="30"/>
          <w:highlight w:val="none"/>
        </w:rPr>
      </w:pPr>
      <w:r>
        <w:rPr>
          <w:rFonts w:hint="eastAsia"/>
          <w:bCs/>
          <w:szCs w:val="30"/>
          <w:highlight w:val="none"/>
          <w:lang w:eastAsia="zh-CN"/>
        </w:rPr>
        <w:t>贯彻落实公路工程质量监督规章制度及公路工程质量验评标准规范；承担交通工程质量、安全生产监督检查工作；承担交通行业监理、试验检测的监管和技术指导工作；承担交通运输工程造价评审、造价监督检查工作；研究推广应用造价标准、规范；完成市交通运输局交办的其他工作。</w:t>
      </w:r>
    </w:p>
    <w:p>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我单位共设置7个内设机构，包括：站长室、办公室、质检科、安监科、监督科、造价站、财务科。</w:t>
      </w:r>
    </w:p>
    <w:p>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我单位作为玉溪市交通运输局的二级预算单位纳入202</w:t>
      </w:r>
      <w:r>
        <w:rPr>
          <w:rFonts w:hint="eastAsia" w:ascii="仿宋_GB2312" w:eastAsia="仿宋_GB2312"/>
          <w:sz w:val="30"/>
          <w:szCs w:val="30"/>
          <w:highlight w:val="none"/>
          <w:lang w:val="en-US" w:eastAsia="zh-CN"/>
        </w:rPr>
        <w:t>5</w:t>
      </w:r>
      <w:r>
        <w:rPr>
          <w:rFonts w:hint="eastAsia" w:ascii="仿宋_GB2312" w:eastAsia="仿宋_GB2312"/>
          <w:sz w:val="30"/>
          <w:szCs w:val="30"/>
          <w:highlight w:val="none"/>
          <w:lang w:eastAsia="zh-CN"/>
        </w:rPr>
        <w:t>年度部门决算编报范围。</w:t>
      </w:r>
    </w:p>
    <w:p>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pPr>
        <w:spacing w:line="600" w:lineRule="exact"/>
        <w:ind w:firstLine="600" w:firstLineChars="200"/>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我单位202</w:t>
      </w:r>
      <w:r>
        <w:rPr>
          <w:rFonts w:hint="eastAsia" w:ascii="仿宋_GB2312" w:eastAsia="仿宋_GB2312"/>
          <w:sz w:val="30"/>
          <w:szCs w:val="30"/>
          <w:highlight w:val="none"/>
          <w:lang w:val="en-US" w:eastAsia="zh-CN"/>
        </w:rPr>
        <w:t>5</w:t>
      </w:r>
      <w:r>
        <w:rPr>
          <w:rFonts w:hint="eastAsia" w:ascii="仿宋_GB2312" w:eastAsia="仿宋_GB2312"/>
          <w:sz w:val="30"/>
          <w:szCs w:val="30"/>
          <w:highlight w:val="none"/>
          <w:lang w:eastAsia="zh-CN"/>
        </w:rPr>
        <w:t>年末编制内实有人员1</w:t>
      </w:r>
      <w:r>
        <w:rPr>
          <w:rFonts w:hint="eastAsia" w:ascii="仿宋_GB2312" w:eastAsia="仿宋_GB2312"/>
          <w:sz w:val="30"/>
          <w:szCs w:val="30"/>
          <w:highlight w:val="none"/>
          <w:lang w:val="en-US" w:eastAsia="zh-CN"/>
        </w:rPr>
        <w:t>9</w:t>
      </w:r>
      <w:r>
        <w:rPr>
          <w:rFonts w:hint="eastAsia" w:ascii="仿宋_GB2312" w:eastAsia="仿宋_GB2312"/>
          <w:sz w:val="30"/>
          <w:szCs w:val="30"/>
          <w:highlight w:val="none"/>
          <w:lang w:eastAsia="zh-CN"/>
        </w:rPr>
        <w:t>人。包括财政拨款开支经费的：公务员0人，参照公务员法管理人员0人，事业管理人员和专业技术人员1</w:t>
      </w:r>
      <w:r>
        <w:rPr>
          <w:rFonts w:hint="eastAsia" w:ascii="仿宋_GB2312" w:eastAsia="仿宋_GB2312"/>
          <w:sz w:val="30"/>
          <w:szCs w:val="30"/>
          <w:highlight w:val="none"/>
          <w:lang w:val="en-US" w:eastAsia="zh-CN"/>
        </w:rPr>
        <w:t>9</w:t>
      </w:r>
      <w:r>
        <w:rPr>
          <w:rFonts w:hint="eastAsia" w:ascii="仿宋_GB2312" w:eastAsia="仿宋_GB2312"/>
          <w:sz w:val="30"/>
          <w:szCs w:val="30"/>
          <w:highlight w:val="none"/>
          <w:lang w:eastAsia="zh-CN"/>
        </w:rPr>
        <w:t>人，机关和事业工人0人；经费自理人员0人。</w:t>
      </w:r>
    </w:p>
    <w:p>
      <w:pPr>
        <w:spacing w:line="600" w:lineRule="exact"/>
        <w:ind w:firstLine="600" w:firstLineChars="200"/>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我单位202</w:t>
      </w:r>
      <w:r>
        <w:rPr>
          <w:rFonts w:hint="eastAsia" w:ascii="仿宋_GB2312" w:eastAsia="仿宋_GB2312"/>
          <w:sz w:val="30"/>
          <w:szCs w:val="30"/>
          <w:highlight w:val="none"/>
          <w:lang w:val="en-US" w:eastAsia="zh-CN"/>
        </w:rPr>
        <w:t>5</w:t>
      </w:r>
      <w:r>
        <w:rPr>
          <w:rFonts w:hint="eastAsia" w:ascii="仿宋_GB2312" w:eastAsia="仿宋_GB2312"/>
          <w:sz w:val="30"/>
          <w:szCs w:val="30"/>
          <w:highlight w:val="none"/>
          <w:lang w:eastAsia="zh-CN"/>
        </w:rPr>
        <w:t>年末其他人员0人。包括财政拨款开支经费的人员0人；经费自理人员0人。</w:t>
      </w:r>
    </w:p>
    <w:p>
      <w:pPr>
        <w:spacing w:line="600" w:lineRule="exact"/>
        <w:ind w:firstLine="600" w:firstLineChars="200"/>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年末尚未移交养老保险基金发放养老金的离退休人员共计0人（离休0人，退休0人）。年末由养老保险基金发放养老金的离退休人员7人（离休0人，退休7人）。</w:t>
      </w:r>
    </w:p>
    <w:p>
      <w:pPr>
        <w:spacing w:line="600" w:lineRule="exact"/>
        <w:ind w:firstLine="600" w:firstLineChars="200"/>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lang w:eastAsia="zh-CN"/>
        </w:rPr>
        <w:t>车辆编制1辆，在编实有车辆1辆，超编0辆。</w:t>
      </w:r>
    </w:p>
    <w:p>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pPr>
        <w:spacing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1.对玉溪市新开工地方高速项目开展质量监督备案资料审查，下发监督备案通知书，开展质量安全监督交底工作。</w:t>
      </w:r>
    </w:p>
    <w:p>
      <w:pPr>
        <w:spacing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2.结合项目施工进展情况，采用巡视检查、专项检查、综合检查等监督方式对玉溪市在建地方高速项目开展质量安全监督检查工作。</w:t>
      </w:r>
    </w:p>
    <w:p>
      <w:pPr>
        <w:spacing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3.审查地方高速项目竣工检测大纲、竣工检测方案，组织开展竣（交）工验收质量检测核验工作。</w:t>
      </w:r>
    </w:p>
    <w:p>
      <w:pPr>
        <w:spacing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4.对职责范围内的公路建设工程项目开展招标最高投标限价和预算审查工作。</w:t>
      </w:r>
    </w:p>
    <w:p>
      <w:pPr>
        <w:spacing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5.对职责范围内公路建设项目开展造价监督检查。</w:t>
      </w:r>
    </w:p>
    <w:p>
      <w:pPr>
        <w:spacing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6.采集、分析、报送本行政区域内公路工程造价信息。</w:t>
      </w:r>
    </w:p>
    <w:p>
      <w:pPr>
        <w:spacing w:line="600" w:lineRule="exact"/>
        <w:ind w:firstLine="600" w:firstLineChars="200"/>
        <w:jc w:val="left"/>
        <w:rPr>
          <w:rFonts w:hint="eastAsia" w:ascii="仿宋_GB2312" w:hAnsi="宋体" w:eastAsia="仿宋_GB2312" w:cs="Arial"/>
          <w:kern w:val="0"/>
          <w:sz w:val="30"/>
          <w:szCs w:val="30"/>
          <w:highlight w:val="none"/>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年度部门决算表</w:t>
      </w:r>
    </w:p>
    <w:p>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pPr>
        <w:spacing w:line="600" w:lineRule="exact"/>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本单位202</w:t>
      </w:r>
      <w:r>
        <w:rPr>
          <w:rFonts w:hint="eastAsia" w:ascii="仿宋_GB2312" w:eastAsia="仿宋_GB2312"/>
          <w:sz w:val="30"/>
          <w:szCs w:val="30"/>
          <w:highlight w:val="none"/>
          <w:lang w:val="en-US" w:eastAsia="zh-CN"/>
        </w:rPr>
        <w:t>5</w:t>
      </w:r>
      <w:r>
        <w:rPr>
          <w:rFonts w:hint="eastAsia" w:ascii="仿宋_GB2312" w:eastAsia="仿宋_GB2312"/>
          <w:sz w:val="30"/>
          <w:szCs w:val="30"/>
          <w:highlight w:val="none"/>
          <w:lang w:eastAsia="zh-CN"/>
        </w:rPr>
        <w:t>年度无政府性基金预算财政拨款收入，《政府性基金预算财政拨款收入支出决算表》为空表；无国有资本经营预算财政拨款收入，《国有资本经营预算财政拨款收入支出决算表》为空表。</w:t>
      </w:r>
    </w:p>
    <w:p>
      <w:pPr>
        <w:spacing w:line="600" w:lineRule="exact"/>
        <w:ind w:firstLine="600" w:firstLineChars="200"/>
        <w:jc w:val="left"/>
        <w:rPr>
          <w:rFonts w:hint="eastAsia" w:ascii="仿宋_GB2312" w:eastAsia="仿宋_GB2312"/>
          <w:sz w:val="30"/>
          <w:szCs w:val="30"/>
          <w:highlight w:val="none"/>
          <w:lang w:eastAsia="zh-CN"/>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年度部门决算情况说明</w:t>
      </w:r>
    </w:p>
    <w:p>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val="en-US" w:eastAsia="zh-CN"/>
        </w:rPr>
        <w:t>玉溪市公路工程质量监督站2025</w:t>
      </w:r>
      <w:r>
        <w:rPr>
          <w:rFonts w:hint="eastAsia" w:ascii="仿宋_GB2312" w:eastAsia="仿宋_GB2312"/>
          <w:sz w:val="30"/>
          <w:szCs w:val="30"/>
          <w:highlight w:val="none"/>
        </w:rPr>
        <w:t>年度收入合计</w:t>
      </w:r>
      <w:r>
        <w:rPr>
          <w:rFonts w:hint="eastAsia" w:ascii="仿宋_GB2312" w:hAnsi="仿宋_GB2312" w:eastAsia="仿宋_GB2312" w:cs="仿宋_GB2312"/>
          <w:color w:val="auto"/>
          <w:sz w:val="30"/>
          <w:highlight w:val="none"/>
          <w:lang w:val="zh-CN"/>
        </w:rPr>
        <w:t>4</w:t>
      </w:r>
      <w:r>
        <w:rPr>
          <w:rFonts w:hint="eastAsia" w:ascii="仿宋_GB2312" w:hAnsi="仿宋_GB2312" w:eastAsia="仿宋_GB2312" w:cs="仿宋_GB2312"/>
          <w:color w:val="auto"/>
          <w:sz w:val="30"/>
          <w:highlight w:val="none"/>
          <w:lang w:val="en-US" w:eastAsia="zh-CN"/>
        </w:rPr>
        <w:t>,</w:t>
      </w:r>
      <w:r>
        <w:rPr>
          <w:rFonts w:hint="eastAsia" w:ascii="仿宋_GB2312" w:hAnsi="仿宋_GB2312" w:eastAsia="仿宋_GB2312" w:cs="仿宋_GB2312"/>
          <w:color w:val="auto"/>
          <w:sz w:val="30"/>
          <w:highlight w:val="none"/>
          <w:lang w:val="zh-CN"/>
        </w:rPr>
        <w:t>055</w:t>
      </w:r>
      <w:r>
        <w:rPr>
          <w:rFonts w:hint="eastAsia" w:ascii="仿宋_GB2312" w:hAnsi="仿宋_GB2312" w:eastAsia="仿宋_GB2312" w:cs="仿宋_GB2312"/>
          <w:color w:val="auto"/>
          <w:sz w:val="30"/>
          <w:highlight w:val="none"/>
          <w:lang w:val="en-US" w:eastAsia="zh-CN"/>
        </w:rPr>
        <w:t>,</w:t>
      </w:r>
      <w:r>
        <w:rPr>
          <w:rFonts w:hint="eastAsia" w:ascii="仿宋_GB2312" w:hAnsi="仿宋_GB2312" w:eastAsia="仿宋_GB2312" w:cs="仿宋_GB2312"/>
          <w:color w:val="auto"/>
          <w:sz w:val="30"/>
          <w:highlight w:val="none"/>
          <w:lang w:val="zh-CN"/>
        </w:rPr>
        <w:t>808.69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highlight w:val="none"/>
          <w:lang w:val="zh-CN"/>
        </w:rPr>
        <w:t>4</w:t>
      </w:r>
      <w:r>
        <w:rPr>
          <w:rFonts w:hint="eastAsia" w:ascii="仿宋_GB2312" w:hAnsi="仿宋_GB2312" w:eastAsia="仿宋_GB2312" w:cs="仿宋_GB2312"/>
          <w:color w:val="auto"/>
          <w:sz w:val="30"/>
          <w:highlight w:val="none"/>
          <w:lang w:val="en-US" w:eastAsia="zh-CN"/>
        </w:rPr>
        <w:t>,</w:t>
      </w:r>
      <w:r>
        <w:rPr>
          <w:rFonts w:hint="eastAsia" w:ascii="仿宋_GB2312" w:hAnsi="仿宋_GB2312" w:eastAsia="仿宋_GB2312" w:cs="仿宋_GB2312"/>
          <w:color w:val="auto"/>
          <w:sz w:val="30"/>
          <w:highlight w:val="none"/>
          <w:lang w:val="zh-CN"/>
        </w:rPr>
        <w:t>055</w:t>
      </w:r>
      <w:r>
        <w:rPr>
          <w:rFonts w:hint="eastAsia" w:ascii="仿宋_GB2312" w:hAnsi="仿宋_GB2312" w:eastAsia="仿宋_GB2312" w:cs="仿宋_GB2312"/>
          <w:color w:val="auto"/>
          <w:sz w:val="30"/>
          <w:highlight w:val="none"/>
          <w:lang w:val="en-US" w:eastAsia="zh-CN"/>
        </w:rPr>
        <w:t>,</w:t>
      </w:r>
      <w:r>
        <w:rPr>
          <w:rFonts w:hint="eastAsia" w:ascii="仿宋_GB2312" w:hAnsi="仿宋_GB2312" w:eastAsia="仿宋_GB2312" w:cs="仿宋_GB2312"/>
          <w:color w:val="auto"/>
          <w:sz w:val="30"/>
          <w:highlight w:val="none"/>
          <w:lang w:val="zh-CN"/>
        </w:rPr>
        <w:t>808.69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highlight w:val="none"/>
          <w:lang w:val="en-US" w:eastAsia="zh-CN"/>
        </w:rPr>
        <w:t>100.00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事业收入；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经营收入；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其他收入。</w:t>
      </w:r>
    </w:p>
    <w:p>
      <w:pPr>
        <w:widowControl/>
        <w:snapToGrid w:val="0"/>
        <w:spacing w:before="100" w:after="100" w:line="600" w:lineRule="exact"/>
        <w:ind w:firstLine="538"/>
        <w:jc w:val="left"/>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highlight w:val="none"/>
          <w:lang w:val="zh-CN"/>
        </w:rPr>
        <w:t>457</w:t>
      </w:r>
      <w:r>
        <w:rPr>
          <w:rFonts w:hint="eastAsia" w:ascii="仿宋_GB2312" w:hAnsi="仿宋_GB2312" w:eastAsia="仿宋_GB2312" w:cs="仿宋_GB2312"/>
          <w:color w:val="auto"/>
          <w:sz w:val="30"/>
          <w:highlight w:val="none"/>
          <w:lang w:val="en-US" w:eastAsia="zh-CN"/>
        </w:rPr>
        <w:t>,</w:t>
      </w:r>
      <w:r>
        <w:rPr>
          <w:rFonts w:hint="eastAsia" w:ascii="仿宋_GB2312" w:hAnsi="仿宋_GB2312" w:eastAsia="仿宋_GB2312" w:cs="仿宋_GB2312"/>
          <w:color w:val="auto"/>
          <w:sz w:val="30"/>
          <w:highlight w:val="none"/>
          <w:lang w:val="zh-CN"/>
        </w:rPr>
        <w:t>144.68</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highlight w:val="none"/>
          <w:lang w:val="en-US" w:eastAsia="zh-CN"/>
        </w:rPr>
        <w:t>12.70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highlight w:val="none"/>
          <w:lang w:val="zh-CN"/>
        </w:rPr>
        <w:t>457</w:t>
      </w:r>
      <w:r>
        <w:rPr>
          <w:rFonts w:hint="eastAsia" w:ascii="仿宋_GB2312" w:hAnsi="仿宋_GB2312" w:eastAsia="仿宋_GB2312" w:cs="仿宋_GB2312"/>
          <w:color w:val="auto"/>
          <w:sz w:val="30"/>
          <w:highlight w:val="none"/>
          <w:lang w:val="en-US" w:eastAsia="zh-CN"/>
        </w:rPr>
        <w:t>,</w:t>
      </w:r>
      <w:r>
        <w:rPr>
          <w:rFonts w:hint="eastAsia" w:ascii="仿宋_GB2312" w:hAnsi="仿宋_GB2312" w:eastAsia="仿宋_GB2312" w:cs="仿宋_GB2312"/>
          <w:color w:val="auto"/>
          <w:sz w:val="30"/>
          <w:highlight w:val="none"/>
          <w:lang w:val="zh-CN"/>
        </w:rPr>
        <w:t>144.68</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highlight w:val="none"/>
          <w:lang w:val="en-US" w:eastAsia="zh-CN"/>
        </w:rPr>
        <w:t>12.70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,主要原因一方面是2025年度单位在职人员增加，人员经费随之增加，另一方面2025年新增项目支出。</w:t>
      </w:r>
    </w:p>
    <w:p>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eastAsia="仿宋_GB2312"/>
          <w:sz w:val="30"/>
          <w:szCs w:val="30"/>
          <w:highlight w:val="none"/>
          <w:lang w:val="en-US" w:eastAsia="zh-CN"/>
        </w:rPr>
        <w:t>玉溪市公路工程质量监督站2025</w:t>
      </w:r>
      <w:r>
        <w:rPr>
          <w:rFonts w:hint="eastAsia" w:ascii="仿宋_GB2312" w:eastAsia="仿宋_GB2312"/>
          <w:sz w:val="30"/>
          <w:szCs w:val="30"/>
          <w:highlight w:val="none"/>
        </w:rPr>
        <w:t>年度支出合计</w:t>
      </w:r>
      <w:r>
        <w:rPr>
          <w:rFonts w:hint="eastAsia" w:ascii="仿宋_GB2312" w:hAnsi="仿宋_GB2312" w:eastAsia="仿宋_GB2312" w:cs="仿宋_GB2312"/>
          <w:color w:val="auto"/>
          <w:sz w:val="30"/>
          <w:highlight w:val="none"/>
          <w:lang w:val="zh-CN"/>
        </w:rPr>
        <w:t>4</w:t>
      </w:r>
      <w:r>
        <w:rPr>
          <w:rFonts w:hint="eastAsia" w:ascii="仿宋_GB2312" w:hAnsi="仿宋_GB2312" w:eastAsia="仿宋_GB2312" w:cs="仿宋_GB2312"/>
          <w:color w:val="auto"/>
          <w:sz w:val="30"/>
          <w:highlight w:val="none"/>
          <w:lang w:val="en-US" w:eastAsia="zh-CN"/>
        </w:rPr>
        <w:t>,</w:t>
      </w:r>
      <w:r>
        <w:rPr>
          <w:rFonts w:hint="eastAsia" w:ascii="仿宋_GB2312" w:hAnsi="仿宋_GB2312" w:eastAsia="仿宋_GB2312" w:cs="仿宋_GB2312"/>
          <w:color w:val="auto"/>
          <w:sz w:val="30"/>
          <w:highlight w:val="none"/>
          <w:lang w:val="zh-CN"/>
        </w:rPr>
        <w:t>055</w:t>
      </w:r>
      <w:r>
        <w:rPr>
          <w:rFonts w:hint="eastAsia" w:ascii="仿宋_GB2312" w:hAnsi="仿宋_GB2312" w:eastAsia="仿宋_GB2312" w:cs="仿宋_GB2312"/>
          <w:color w:val="auto"/>
          <w:sz w:val="30"/>
          <w:highlight w:val="none"/>
          <w:lang w:val="en-US" w:eastAsia="zh-CN"/>
        </w:rPr>
        <w:t>,</w:t>
      </w:r>
      <w:r>
        <w:rPr>
          <w:rFonts w:hint="eastAsia" w:ascii="仿宋_GB2312" w:hAnsi="仿宋_GB2312" w:eastAsia="仿宋_GB2312" w:cs="仿宋_GB2312"/>
          <w:color w:val="auto"/>
          <w:sz w:val="30"/>
          <w:highlight w:val="none"/>
          <w:lang w:val="zh-CN"/>
        </w:rPr>
        <w:t>808.69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highlight w:val="none"/>
          <w:lang w:val="zh-CN"/>
        </w:rPr>
        <w:t>3</w:t>
      </w:r>
      <w:r>
        <w:rPr>
          <w:rFonts w:hint="eastAsia" w:ascii="仿宋_GB2312" w:hAnsi="仿宋_GB2312" w:eastAsia="仿宋_GB2312" w:cs="仿宋_GB2312"/>
          <w:color w:val="auto"/>
          <w:sz w:val="30"/>
          <w:highlight w:val="none"/>
          <w:lang w:val="en-US" w:eastAsia="zh-CN"/>
        </w:rPr>
        <w:t>,</w:t>
      </w:r>
      <w:r>
        <w:rPr>
          <w:rFonts w:hint="eastAsia" w:ascii="仿宋_GB2312" w:hAnsi="仿宋_GB2312" w:eastAsia="仿宋_GB2312" w:cs="仿宋_GB2312"/>
          <w:color w:val="auto"/>
          <w:sz w:val="30"/>
          <w:highlight w:val="none"/>
          <w:lang w:val="zh-CN"/>
        </w:rPr>
        <w:t>998</w:t>
      </w:r>
      <w:r>
        <w:rPr>
          <w:rFonts w:hint="eastAsia" w:ascii="仿宋_GB2312" w:hAnsi="仿宋_GB2312" w:eastAsia="仿宋_GB2312" w:cs="仿宋_GB2312"/>
          <w:color w:val="auto"/>
          <w:sz w:val="30"/>
          <w:highlight w:val="none"/>
          <w:lang w:val="en-US" w:eastAsia="zh-CN"/>
        </w:rPr>
        <w:t>,</w:t>
      </w:r>
      <w:r>
        <w:rPr>
          <w:rFonts w:hint="eastAsia" w:ascii="仿宋_GB2312" w:hAnsi="仿宋_GB2312" w:eastAsia="仿宋_GB2312" w:cs="仿宋_GB2312"/>
          <w:color w:val="auto"/>
          <w:sz w:val="30"/>
          <w:highlight w:val="none"/>
          <w:lang w:val="zh-CN"/>
        </w:rPr>
        <w:t>908.69</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highlight w:val="none"/>
          <w:lang w:val="en-US" w:eastAsia="zh-CN"/>
        </w:rPr>
        <w:t>98.60</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highlight w:val="none"/>
          <w:lang w:val="zh-CN"/>
        </w:rPr>
        <w:t>56</w:t>
      </w:r>
      <w:r>
        <w:rPr>
          <w:rFonts w:hint="eastAsia" w:ascii="仿宋_GB2312" w:hAnsi="仿宋_GB2312" w:eastAsia="仿宋_GB2312" w:cs="仿宋_GB2312"/>
          <w:color w:val="auto"/>
          <w:sz w:val="30"/>
          <w:highlight w:val="none"/>
          <w:lang w:val="en-US" w:eastAsia="zh-CN"/>
        </w:rPr>
        <w:t>,</w:t>
      </w:r>
      <w:r>
        <w:rPr>
          <w:rFonts w:hint="eastAsia" w:ascii="仿宋_GB2312" w:hAnsi="仿宋_GB2312" w:eastAsia="仿宋_GB2312" w:cs="仿宋_GB2312"/>
          <w:color w:val="auto"/>
          <w:sz w:val="30"/>
          <w:highlight w:val="none"/>
          <w:lang w:val="zh-CN"/>
        </w:rPr>
        <w:t>900</w:t>
      </w:r>
      <w:r>
        <w:rPr>
          <w:rFonts w:hint="eastAsia" w:ascii="仿宋_GB2312" w:hAnsi="仿宋_GB2312" w:eastAsia="仿宋_GB2312" w:cs="仿宋_GB2312"/>
          <w:color w:val="auto"/>
          <w:sz w:val="30"/>
          <w:highlight w:val="none"/>
          <w:lang w:val="en-US" w:eastAsia="zh-CN"/>
        </w:rPr>
        <w:t>.00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highlight w:val="none"/>
          <w:lang w:val="en-US" w:eastAsia="zh-CN"/>
        </w:rPr>
        <w:t>1.40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对附属单位补助支出。</w:t>
      </w:r>
    </w:p>
    <w:p>
      <w:pPr>
        <w:spacing w:line="600" w:lineRule="exact"/>
        <w:ind w:firstLine="600" w:firstLineChars="200"/>
        <w:rPr>
          <w:rFonts w:hint="eastAsia" w:ascii="仿宋_GB2312" w:eastAsia="仿宋_GB2312"/>
          <w:color w:val="FF0000"/>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highlight w:val="none"/>
          <w:lang w:val="zh-CN"/>
        </w:rPr>
        <w:t>457</w:t>
      </w:r>
      <w:r>
        <w:rPr>
          <w:rFonts w:hint="eastAsia" w:ascii="仿宋_GB2312" w:hAnsi="仿宋_GB2312" w:eastAsia="仿宋_GB2312" w:cs="仿宋_GB2312"/>
          <w:color w:val="auto"/>
          <w:sz w:val="30"/>
          <w:highlight w:val="none"/>
          <w:lang w:val="en-US" w:eastAsia="zh-CN"/>
        </w:rPr>
        <w:t>,</w:t>
      </w:r>
      <w:r>
        <w:rPr>
          <w:rFonts w:hint="eastAsia" w:ascii="仿宋_GB2312" w:hAnsi="仿宋_GB2312" w:eastAsia="仿宋_GB2312" w:cs="仿宋_GB2312"/>
          <w:color w:val="auto"/>
          <w:sz w:val="30"/>
          <w:highlight w:val="none"/>
          <w:lang w:val="zh-CN"/>
        </w:rPr>
        <w:t>144.68</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highlight w:val="none"/>
          <w:lang w:val="en-US" w:eastAsia="zh-CN"/>
        </w:rPr>
        <w:t>12.70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增加400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244.68元，增长</w:t>
      </w:r>
      <w:r>
        <w:rPr>
          <w:rFonts w:hint="eastAsia" w:ascii="仿宋_GB2312" w:eastAsia="仿宋_GB2312"/>
          <w:sz w:val="30"/>
          <w:szCs w:val="30"/>
          <w:highlight w:val="none"/>
          <w:lang w:val="en-US" w:eastAsia="zh-CN"/>
        </w:rPr>
        <w:t>11.12</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,主要原因是2025年度单位在职人员增加，人员经费随之增加</w:t>
      </w:r>
      <w:r>
        <w:rPr>
          <w:rFonts w:hint="eastAsia" w:ascii="仿宋_GB2312" w:eastAsia="仿宋_GB2312"/>
          <w:sz w:val="30"/>
          <w:szCs w:val="30"/>
          <w:highlight w:val="none"/>
          <w:lang w:eastAsia="zh-CN"/>
        </w:rPr>
        <w:t>；项目支出增加</w:t>
      </w:r>
      <w:r>
        <w:rPr>
          <w:rFonts w:hint="eastAsia" w:ascii="仿宋_GB2312" w:hAnsi="仿宋_GB2312" w:eastAsia="仿宋_GB2312" w:cs="仿宋_GB2312"/>
          <w:color w:val="auto"/>
          <w:sz w:val="30"/>
          <w:highlight w:val="none"/>
          <w:lang w:val="zh-CN"/>
        </w:rPr>
        <w:t>56</w:t>
      </w:r>
      <w:r>
        <w:rPr>
          <w:rFonts w:hint="eastAsia" w:ascii="仿宋_GB2312" w:hAnsi="仿宋_GB2312" w:eastAsia="仿宋_GB2312" w:cs="仿宋_GB2312"/>
          <w:color w:val="auto"/>
          <w:sz w:val="30"/>
          <w:highlight w:val="none"/>
          <w:lang w:val="en-US" w:eastAsia="zh-CN"/>
        </w:rPr>
        <w:t>,</w:t>
      </w:r>
      <w:r>
        <w:rPr>
          <w:rFonts w:hint="eastAsia" w:ascii="仿宋_GB2312" w:hAnsi="仿宋_GB2312" w:eastAsia="仿宋_GB2312" w:cs="仿宋_GB2312"/>
          <w:color w:val="auto"/>
          <w:sz w:val="30"/>
          <w:highlight w:val="none"/>
          <w:lang w:val="zh-CN"/>
        </w:rPr>
        <w:t>900</w:t>
      </w:r>
      <w:r>
        <w:rPr>
          <w:rFonts w:hint="eastAsia" w:ascii="仿宋_GB2312" w:hAnsi="仿宋_GB2312" w:eastAsia="仿宋_GB2312" w:cs="仿宋_GB2312"/>
          <w:color w:val="auto"/>
          <w:sz w:val="30"/>
          <w:highlight w:val="none"/>
          <w:lang w:val="en-US" w:eastAsia="zh-CN"/>
        </w:rPr>
        <w:t>.00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highlight w:val="none"/>
          <w:lang w:val="en-US" w:eastAsia="zh-CN"/>
        </w:rPr>
        <w:t>100.00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，主要原因是</w:t>
      </w:r>
      <w:r>
        <w:rPr>
          <w:rFonts w:hint="eastAsia" w:ascii="仿宋_GB2312" w:eastAsia="仿宋_GB2312"/>
          <w:sz w:val="30"/>
          <w:szCs w:val="30"/>
          <w:highlight w:val="none"/>
          <w:lang w:val="en-US" w:eastAsia="zh-CN"/>
        </w:rPr>
        <w:t>2025年新增项目支出</w:t>
      </w:r>
      <w:r>
        <w:rPr>
          <w:rFonts w:hint="eastAsia" w:ascii="仿宋_GB2312" w:eastAsia="仿宋_GB2312"/>
          <w:sz w:val="30"/>
          <w:szCs w:val="30"/>
          <w:highlight w:val="none"/>
          <w:lang w:eastAsia="zh-CN"/>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pPr>
        <w:widowControl/>
        <w:snapToGrid w:val="0"/>
        <w:spacing w:before="100" w:after="100" w:line="600" w:lineRule="exact"/>
        <w:ind w:firstLine="600" w:firstLineChars="200"/>
        <w:jc w:val="left"/>
        <w:rPr>
          <w:rFonts w:hint="eastAsia" w:ascii="仿宋_GB2312" w:hAnsi="仿宋_GB2312" w:eastAsia="仿宋_GB2312" w:cs="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年度用于保障</w:t>
      </w:r>
      <w:r>
        <w:rPr>
          <w:rFonts w:hint="eastAsia" w:ascii="仿宋_GB2312" w:eastAsia="仿宋_GB2312"/>
          <w:sz w:val="30"/>
          <w:szCs w:val="30"/>
          <w:highlight w:val="none"/>
          <w:lang w:val="en-US" w:eastAsia="zh-CN"/>
        </w:rPr>
        <w:t>玉溪市公路工程质量监督站</w:t>
      </w:r>
      <w:r>
        <w:rPr>
          <w:rFonts w:hint="eastAsia" w:ascii="仿宋_GB2312" w:hAnsi="仿宋_GB2312" w:eastAsia="仿宋_GB2312" w:cs="仿宋_GB2312"/>
          <w:sz w:val="30"/>
          <w:szCs w:val="30"/>
          <w:highlight w:val="none"/>
        </w:rPr>
        <w:t>正常运转的日常支出</w:t>
      </w:r>
      <w:r>
        <w:rPr>
          <w:rFonts w:hint="eastAsia" w:ascii="仿宋_GB2312" w:hAnsi="仿宋_GB2312" w:eastAsia="仿宋_GB2312" w:cs="仿宋_GB2312"/>
          <w:color w:val="auto"/>
          <w:sz w:val="30"/>
          <w:highlight w:val="none"/>
          <w:lang w:val="zh-CN"/>
        </w:rPr>
        <w:t>3</w:t>
      </w:r>
      <w:r>
        <w:rPr>
          <w:rFonts w:hint="eastAsia" w:ascii="仿宋_GB2312" w:hAnsi="仿宋_GB2312" w:eastAsia="仿宋_GB2312" w:cs="仿宋_GB2312"/>
          <w:color w:val="auto"/>
          <w:sz w:val="30"/>
          <w:highlight w:val="none"/>
          <w:lang w:val="en-US" w:eastAsia="zh-CN"/>
        </w:rPr>
        <w:t>,</w:t>
      </w:r>
      <w:r>
        <w:rPr>
          <w:rFonts w:hint="eastAsia" w:ascii="仿宋_GB2312" w:hAnsi="仿宋_GB2312" w:eastAsia="仿宋_GB2312" w:cs="仿宋_GB2312"/>
          <w:color w:val="auto"/>
          <w:sz w:val="30"/>
          <w:highlight w:val="none"/>
          <w:lang w:val="zh-CN"/>
        </w:rPr>
        <w:t>998</w:t>
      </w:r>
      <w:r>
        <w:rPr>
          <w:rFonts w:hint="eastAsia" w:ascii="仿宋_GB2312" w:hAnsi="仿宋_GB2312" w:eastAsia="仿宋_GB2312" w:cs="仿宋_GB2312"/>
          <w:color w:val="auto"/>
          <w:sz w:val="30"/>
          <w:highlight w:val="none"/>
          <w:lang w:val="en-US" w:eastAsia="zh-CN"/>
        </w:rPr>
        <w:t>,</w:t>
      </w:r>
      <w:r>
        <w:rPr>
          <w:rFonts w:hint="eastAsia" w:ascii="仿宋_GB2312" w:hAnsi="仿宋_GB2312" w:eastAsia="仿宋_GB2312" w:cs="仿宋_GB2312"/>
          <w:color w:val="auto"/>
          <w:sz w:val="30"/>
          <w:highlight w:val="none"/>
          <w:lang w:val="zh-CN"/>
        </w:rPr>
        <w:t>908.69</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 xml:space="preserve">基本工资、津贴补贴等人员经费支出3,778,338.93 </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highlight w:val="none"/>
          <w:lang w:val="en-US" w:eastAsia="zh-CN"/>
        </w:rPr>
        <w:t>94.48</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正常运转的日常人均支出198</w:t>
      </w:r>
      <w:r>
        <w:rPr>
          <w:rFonts w:hint="eastAsia"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rPr>
        <w:t xml:space="preserve">859.94元；办公费、印刷费、水电费、办公设备购置等公用经费220,569.76 </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highlight w:val="none"/>
          <w:lang w:val="en-US" w:eastAsia="zh-CN"/>
        </w:rPr>
        <w:t>5.52</w:t>
      </w:r>
      <w:r>
        <w:rPr>
          <w:rFonts w:hint="eastAsia" w:ascii="仿宋_GB2312" w:hAnsi="仿宋_GB2312" w:eastAsia="仿宋_GB2312" w:cs="仿宋_GB2312"/>
          <w:sz w:val="30"/>
          <w:szCs w:val="30"/>
          <w:highlight w:val="none"/>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pPr>
        <w:keepNext w:val="0"/>
        <w:keepLines w:val="0"/>
        <w:pageBreakBefore w:val="0"/>
        <w:widowControl/>
        <w:kinsoku/>
        <w:wordWrap/>
        <w:overflowPunct w:val="0"/>
        <w:topLinePunct w:val="0"/>
        <w:autoSpaceDE/>
        <w:autoSpaceDN/>
        <w:bidi w:val="0"/>
        <w:adjustRightInd/>
        <w:snapToGrid w:val="0"/>
        <w:spacing w:before="100" w:after="100" w:line="600" w:lineRule="exact"/>
        <w:ind w:left="0" w:leftChars="0" w:right="0" w:rightChars="0" w:firstLine="600" w:firstLineChars="200"/>
        <w:jc w:val="left"/>
        <w:textAlignment w:val="auto"/>
        <w:outlineLvl w:val="9"/>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年度用于保障</w:t>
      </w:r>
      <w:r>
        <w:rPr>
          <w:rFonts w:hint="eastAsia" w:ascii="仿宋_GB2312" w:hAnsi="仿宋_GB2312" w:eastAsia="仿宋_GB2312" w:cs="仿宋_GB2312"/>
          <w:color w:val="auto"/>
          <w:sz w:val="30"/>
          <w:lang w:val="zh-CN"/>
        </w:rPr>
        <w:t>玉溪市公路工程质量监督站</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en-US" w:eastAsia="zh-CN"/>
        </w:rPr>
        <w:t>56,900.00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pPr>
        <w:keepNext w:val="0"/>
        <w:keepLines w:val="0"/>
        <w:pageBreakBefore w:val="0"/>
        <w:widowControl/>
        <w:kinsoku/>
        <w:wordWrap/>
        <w:overflowPunct w:val="0"/>
        <w:topLinePunct w:val="0"/>
        <w:autoSpaceDE/>
        <w:autoSpaceDN/>
        <w:bidi w:val="0"/>
        <w:adjustRightInd/>
        <w:snapToGrid w:val="0"/>
        <w:spacing w:before="100" w:after="100" w:line="600" w:lineRule="exact"/>
        <w:ind w:left="0" w:leftChars="0" w:right="0" w:rightChars="0" w:firstLine="600" w:firstLineChars="200"/>
        <w:jc w:val="left"/>
        <w:textAlignment w:val="auto"/>
        <w:outlineLvl w:val="9"/>
        <w:rPr>
          <w:rFonts w:hint="eastAsia" w:ascii="仿宋_GB2312" w:eastAsia="仿宋_GB2312"/>
          <w:sz w:val="30"/>
          <w:szCs w:val="30"/>
          <w:highlight w:val="none"/>
        </w:rPr>
      </w:pPr>
      <w:r>
        <w:rPr>
          <w:rFonts w:hint="eastAsia" w:ascii="仿宋_GB2312" w:eastAsia="仿宋_GB2312"/>
          <w:sz w:val="30"/>
          <w:szCs w:val="30"/>
          <w:highlight w:val="none"/>
        </w:rPr>
        <w:t>玉溪市公路工程招标最高投标限价造价咨询审查专项经费</w:t>
      </w:r>
      <w:r>
        <w:rPr>
          <w:rFonts w:hint="eastAsia" w:ascii="仿宋_GB2312" w:eastAsia="仿宋_GB2312"/>
          <w:sz w:val="30"/>
          <w:szCs w:val="30"/>
          <w:highlight w:val="none"/>
          <w:lang w:val="en-US" w:eastAsia="zh-CN"/>
        </w:rPr>
        <w:t>56,900.00元，主要用于通过公开招标或政府采购的方式公开选取具有公路工程造价咨询能力的机构，对2025年玉溪市地方高速公路及市级负责实施的公路建设项目的招标最高投标限价及其他需要造价站出具审查意见的项目造价文件进行技术审查，重点对项目工程数量、定额使用、设备材料及人工、机械价格、相关费用采用的合理性进行复核。</w:t>
      </w:r>
    </w:p>
    <w:p>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eastAsia="仿宋_GB2312"/>
          <w:sz w:val="30"/>
          <w:szCs w:val="30"/>
          <w:highlight w:val="none"/>
          <w:lang w:val="en-US" w:eastAsia="zh-CN"/>
        </w:rPr>
        <w:t>玉溪市公路工程质量监督站2025</w:t>
      </w:r>
      <w:r>
        <w:rPr>
          <w:rFonts w:hint="eastAsia" w:ascii="仿宋_GB2312" w:eastAsia="仿宋_GB2312"/>
          <w:sz w:val="30"/>
          <w:szCs w:val="30"/>
          <w:highlight w:val="none"/>
        </w:rPr>
        <w:t xml:space="preserve">年度一般公共预算财政拨款支出4,055,808.69 </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sz w:val="30"/>
          <w:szCs w:val="30"/>
          <w:highlight w:val="none"/>
          <w:lang w:val="en-US" w:eastAsia="zh-CN"/>
        </w:rPr>
        <w:t>100.00</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增加</w:t>
      </w:r>
      <w:r>
        <w:rPr>
          <w:rFonts w:hint="eastAsia" w:ascii="仿宋_GB2312" w:hAnsi="仿宋_GB2312" w:eastAsia="仿宋_GB2312" w:cs="仿宋_GB2312"/>
          <w:color w:val="auto"/>
          <w:sz w:val="30"/>
          <w:highlight w:val="none"/>
          <w:lang w:val="zh-CN"/>
        </w:rPr>
        <w:t>457</w:t>
      </w:r>
      <w:r>
        <w:rPr>
          <w:rFonts w:hint="eastAsia" w:ascii="仿宋_GB2312" w:hAnsi="仿宋_GB2312" w:eastAsia="仿宋_GB2312" w:cs="仿宋_GB2312"/>
          <w:color w:val="auto"/>
          <w:sz w:val="30"/>
          <w:highlight w:val="none"/>
          <w:lang w:val="en-US" w:eastAsia="zh-CN"/>
        </w:rPr>
        <w:t>,</w:t>
      </w:r>
      <w:r>
        <w:rPr>
          <w:rFonts w:hint="eastAsia" w:ascii="仿宋_GB2312" w:hAnsi="仿宋_GB2312" w:eastAsia="仿宋_GB2312" w:cs="仿宋_GB2312"/>
          <w:color w:val="auto"/>
          <w:sz w:val="30"/>
          <w:highlight w:val="none"/>
          <w:lang w:val="zh-CN"/>
        </w:rPr>
        <w:t>144.68</w:t>
      </w:r>
      <w:r>
        <w:rPr>
          <w:rFonts w:hint="eastAsia" w:ascii="仿宋_GB2312" w:eastAsia="仿宋_GB2312"/>
          <w:sz w:val="30"/>
          <w:szCs w:val="30"/>
          <w:highlight w:val="none"/>
          <w:lang w:eastAsia="zh-CN"/>
        </w:rPr>
        <w:t>元</w:t>
      </w:r>
      <w:r>
        <w:rPr>
          <w:rFonts w:hint="eastAsia" w:ascii="仿宋_GB2312" w:hAnsi="宋体" w:eastAsia="仿宋_GB2312" w:cs="Arial"/>
          <w:kern w:val="0"/>
          <w:sz w:val="30"/>
          <w:szCs w:val="30"/>
          <w:highlight w:val="none"/>
        </w:rPr>
        <w:t>，增长</w:t>
      </w:r>
      <w:r>
        <w:rPr>
          <w:rFonts w:hint="eastAsia" w:ascii="仿宋_GB2312" w:hAnsi="仿宋_GB2312" w:eastAsia="仿宋_GB2312" w:cs="仿宋_GB2312"/>
          <w:color w:val="auto"/>
          <w:sz w:val="30"/>
          <w:highlight w:val="none"/>
          <w:lang w:val="en-US" w:eastAsia="zh-CN"/>
        </w:rPr>
        <w:t>12.70</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sz w:val="30"/>
          <w:szCs w:val="30"/>
          <w:highlight w:val="none"/>
          <w:lang w:val="en-US" w:eastAsia="zh-CN"/>
        </w:rPr>
        <w:t>105.17</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hAnsi="仿宋_GB2312" w:eastAsia="仿宋_GB2312" w:cs="仿宋_GB2312"/>
          <w:color w:val="auto"/>
          <w:kern w:val="0"/>
          <w:sz w:val="30"/>
          <w:highlight w:val="none"/>
          <w:lang w:val="en-US"/>
        </w:rPr>
        <w:t>5.教育（类）支出</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color w:val="auto"/>
          <w:kern w:val="0"/>
          <w:sz w:val="30"/>
          <w:highlight w:val="none"/>
          <w:lang w:val="en-US"/>
        </w:rPr>
        <w:t>元，</w:t>
      </w:r>
      <w:r>
        <w:rPr>
          <w:rFonts w:hint="eastAsia" w:ascii="仿宋_GB2312" w:hAnsi="仿宋_GB2312" w:eastAsia="仿宋_GB2312" w:cs="仿宋_GB2312"/>
          <w:color w:val="auto"/>
          <w:sz w:val="30"/>
          <w:highlight w:val="none"/>
          <w:lang w:val="en-US"/>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color w:val="auto"/>
          <w:sz w:val="30"/>
          <w:highlight w:val="none"/>
          <w:lang w:val="en-US"/>
        </w:rPr>
        <w:t>%</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6.科学技术（类）支出</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color w:val="auto"/>
          <w:kern w:val="0"/>
          <w:sz w:val="30"/>
          <w:highlight w:val="none"/>
          <w:lang w:val="en-US"/>
        </w:rPr>
        <w:t>元，</w:t>
      </w:r>
      <w:r>
        <w:rPr>
          <w:rFonts w:hint="eastAsia" w:ascii="仿宋_GB2312" w:hAnsi="仿宋_GB2312" w:eastAsia="仿宋_GB2312" w:cs="仿宋_GB2312"/>
          <w:color w:val="auto"/>
          <w:sz w:val="30"/>
          <w:highlight w:val="none"/>
          <w:lang w:val="en-US"/>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color w:val="auto"/>
          <w:sz w:val="30"/>
          <w:highlight w:val="none"/>
          <w:lang w:val="en-US"/>
        </w:rPr>
        <w:t>%</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7.文化旅游体育与传媒（类）支出</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color w:val="auto"/>
          <w:kern w:val="0"/>
          <w:sz w:val="30"/>
          <w:highlight w:val="none"/>
          <w:lang w:val="en-US"/>
        </w:rPr>
        <w:t>元，</w:t>
      </w:r>
      <w:r>
        <w:rPr>
          <w:rFonts w:hint="eastAsia" w:ascii="仿宋_GB2312" w:hAnsi="仿宋_GB2312" w:eastAsia="仿宋_GB2312" w:cs="仿宋_GB2312"/>
          <w:color w:val="auto"/>
          <w:sz w:val="30"/>
          <w:highlight w:val="none"/>
          <w:lang w:val="en-US"/>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color w:val="auto"/>
          <w:sz w:val="30"/>
          <w:highlight w:val="none"/>
          <w:lang w:val="en-US"/>
        </w:rPr>
        <w:t>%</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8.社会保障和就业（类）支出516,448.64 元，</w:t>
      </w:r>
      <w:r>
        <w:rPr>
          <w:rFonts w:hint="eastAsia" w:ascii="仿宋_GB2312" w:hAnsi="仿宋_GB2312" w:eastAsia="仿宋_GB2312" w:cs="仿宋_GB2312"/>
          <w:color w:val="auto"/>
          <w:sz w:val="30"/>
          <w:highlight w:val="none"/>
          <w:lang w:val="en-US"/>
        </w:rPr>
        <w:t>占一般公共预算财政拨款总支出的</w:t>
      </w:r>
      <w:r>
        <w:rPr>
          <w:rFonts w:hint="eastAsia" w:ascii="仿宋_GB2312" w:hAnsi="仿宋_GB2312" w:eastAsia="仿宋_GB2312" w:cs="仿宋_GB2312"/>
          <w:sz w:val="30"/>
          <w:szCs w:val="30"/>
          <w:highlight w:val="none"/>
          <w:lang w:val="en-US" w:eastAsia="zh-CN"/>
        </w:rPr>
        <w:t>12.73</w:t>
      </w:r>
      <w:r>
        <w:rPr>
          <w:rFonts w:hint="eastAsia" w:ascii="仿宋_GB2312" w:hAnsi="仿宋_GB2312" w:eastAsia="仿宋_GB2312" w:cs="仿宋_GB2312"/>
          <w:color w:val="auto"/>
          <w:sz w:val="30"/>
          <w:highlight w:val="none"/>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sz w:val="30"/>
          <w:szCs w:val="30"/>
          <w:highlight w:val="none"/>
          <w:lang w:val="en-US" w:eastAsia="zh-CN"/>
        </w:rPr>
        <w:t>115.91</w:t>
      </w:r>
      <w:r>
        <w:rPr>
          <w:rFonts w:hint="eastAsia" w:ascii="仿宋_GB2312" w:eastAsia="仿宋_GB2312"/>
          <w:sz w:val="30"/>
          <w:szCs w:val="30"/>
          <w:highlight w:val="none"/>
          <w:lang w:val="en-US" w:eastAsia="zh-CN"/>
        </w:rPr>
        <w:t>%。主要用于事业单位离退休支出186,900.00元，机关事业单位基本养老保险缴费支出329,548.64元。造成预决算差异的主要原因是年内增加在职人员，养老保险缴费支出随之增加</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9.卫生健康（类）支出</w:t>
      </w:r>
      <w:r>
        <w:rPr>
          <w:rFonts w:hint="eastAsia" w:ascii="仿宋_GB2312" w:hAnsi="仿宋_GB2312" w:eastAsia="仿宋_GB2312" w:cs="仿宋_GB2312"/>
          <w:sz w:val="30"/>
          <w:szCs w:val="30"/>
          <w:highlight w:val="none"/>
          <w:lang w:eastAsia="zh-CN"/>
        </w:rPr>
        <w:t>318</w:t>
      </w:r>
      <w:r>
        <w:rPr>
          <w:rFonts w:hint="eastAsia"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eastAsia="zh-CN"/>
        </w:rPr>
        <w:t>910.3</w:t>
      </w:r>
      <w:r>
        <w:rPr>
          <w:rFonts w:hint="eastAsia" w:ascii="仿宋_GB2312" w:hAnsi="仿宋_GB2312" w:eastAsia="仿宋_GB2312" w:cs="仿宋_GB2312"/>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7.86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sz w:val="30"/>
          <w:szCs w:val="30"/>
          <w:highlight w:val="none"/>
          <w:lang w:val="en-US" w:eastAsia="zh-CN"/>
        </w:rPr>
        <w:t>125.73</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主要用于事业单位医疗支出171</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178.51元，公务员医疗补助支出134</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659.39元，其他行政事业单位医疗支出13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072.4</w:t>
      </w:r>
      <w:r>
        <w:rPr>
          <w:rFonts w:hint="eastAsia" w:ascii="仿宋_GB2312" w:hAnsi="宋体" w:eastAsia="仿宋_GB2312" w:cs="Arial"/>
          <w:kern w:val="0"/>
          <w:sz w:val="30"/>
          <w:szCs w:val="30"/>
          <w:highlight w:val="none"/>
          <w:lang w:val="en-US" w:eastAsia="zh-CN"/>
        </w:rPr>
        <w:t>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。造成预决算差异的主要原因是年内增加在职人员，事业单位医疗支出、公务员医疗补助支出和</w:t>
      </w:r>
      <w:r>
        <w:rPr>
          <w:rFonts w:hint="eastAsia" w:ascii="仿宋_GB2312" w:hAnsi="宋体" w:eastAsia="仿宋_GB2312" w:cs="Arial"/>
          <w:kern w:val="0"/>
          <w:sz w:val="30"/>
          <w:szCs w:val="30"/>
          <w:highlight w:val="none"/>
        </w:rPr>
        <w:t>其他行政事业单位医疗支出</w:t>
      </w:r>
      <w:r>
        <w:rPr>
          <w:rFonts w:hint="eastAsia" w:ascii="仿宋_GB2312" w:hAnsi="宋体" w:eastAsia="仿宋_GB2312" w:cs="Arial"/>
          <w:kern w:val="0"/>
          <w:sz w:val="30"/>
          <w:szCs w:val="30"/>
          <w:highlight w:val="none"/>
          <w:lang w:eastAsia="zh-CN"/>
        </w:rPr>
        <w:t>随之增加。</w:t>
      </w:r>
    </w:p>
    <w:p>
      <w:pPr>
        <w:widowControl/>
        <w:snapToGrid w:val="0"/>
        <w:spacing w:before="100" w:after="100"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hAnsi="仿宋_GB2312" w:eastAsia="仿宋_GB2312" w:cs="仿宋_GB2312"/>
          <w:color w:val="auto"/>
          <w:kern w:val="0"/>
          <w:sz w:val="30"/>
          <w:highlight w:val="none"/>
          <w:lang w:val="en-US"/>
        </w:rPr>
        <w:t>10.节能环保（类）支出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11.城乡社区（类）支出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12.农林水（类）支出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13.交通运输（类）支出</w:t>
      </w:r>
      <w:r>
        <w:rPr>
          <w:rFonts w:hint="eastAsia" w:ascii="仿宋_GB2312" w:hAnsi="仿宋_GB2312" w:eastAsia="仿宋_GB2312" w:cs="仿宋_GB2312"/>
          <w:sz w:val="30"/>
          <w:szCs w:val="30"/>
          <w:highlight w:val="none"/>
          <w:lang w:eastAsia="zh-CN"/>
        </w:rPr>
        <w:t>2</w:t>
      </w:r>
      <w:r>
        <w:rPr>
          <w:rFonts w:hint="eastAsia"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eastAsia="zh-CN"/>
        </w:rPr>
        <w:t>899</w:t>
      </w:r>
      <w:r>
        <w:rPr>
          <w:rFonts w:hint="eastAsia"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eastAsia="zh-CN"/>
        </w:rPr>
        <w:t>765.75</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71.50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sz w:val="30"/>
          <w:szCs w:val="30"/>
          <w:highlight w:val="none"/>
          <w:lang w:val="en-US" w:eastAsia="zh-CN"/>
        </w:rPr>
        <w:t>101.82</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eastAsia="仿宋_GB2312"/>
          <w:sz w:val="30"/>
          <w:szCs w:val="30"/>
          <w:highlight w:val="none"/>
          <w:lang w:val="en-US" w:eastAsia="zh-CN"/>
        </w:rPr>
        <w:t>其他公路水路运输支出</w:t>
      </w:r>
      <w:r>
        <w:rPr>
          <w:rFonts w:hint="eastAsia" w:ascii="仿宋_GB2312" w:hAnsi="仿宋_GB2312" w:eastAsia="仿宋_GB2312" w:cs="仿宋_GB2312"/>
          <w:sz w:val="30"/>
          <w:szCs w:val="30"/>
          <w:highlight w:val="none"/>
          <w:lang w:eastAsia="zh-CN"/>
        </w:rPr>
        <w:t>2</w:t>
      </w:r>
      <w:r>
        <w:rPr>
          <w:rFonts w:hint="eastAsia"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eastAsia="zh-CN"/>
        </w:rPr>
        <w:t>899</w:t>
      </w:r>
      <w:r>
        <w:rPr>
          <w:rFonts w:hint="eastAsia"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eastAsia="zh-CN"/>
        </w:rPr>
        <w:t>765.75</w:t>
      </w:r>
      <w:r>
        <w:rPr>
          <w:rFonts w:hint="eastAsia" w:ascii="仿宋_GB2312" w:eastAsia="仿宋_GB2312"/>
          <w:sz w:val="30"/>
          <w:szCs w:val="30"/>
          <w:highlight w:val="none"/>
          <w:lang w:val="en-US" w:eastAsia="zh-CN"/>
        </w:rPr>
        <w:t>元。造成</w:t>
      </w:r>
      <w:r>
        <w:rPr>
          <w:rFonts w:hint="eastAsia" w:ascii="仿宋_GB2312" w:hAnsi="宋体" w:eastAsia="仿宋_GB2312" w:cs="Arial"/>
          <w:kern w:val="0"/>
          <w:sz w:val="30"/>
          <w:szCs w:val="30"/>
          <w:highlight w:val="none"/>
          <w:lang w:eastAsia="zh-CN"/>
        </w:rPr>
        <w:t>预决算差异的主要原因是年内增加在职人员，公用经费支出稍有增加。</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14.资源勘探工业信息等（类）支出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15.商业服务业等（类）支出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16.金融（类）支出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17.援助其他地区（类）支出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18.自然资源海洋气象等（类）支出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color w:val="auto"/>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19.住房保障（类）支出320,684.00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7.91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sz w:val="30"/>
          <w:szCs w:val="30"/>
          <w:highlight w:val="none"/>
          <w:lang w:val="en-US" w:eastAsia="zh-CN"/>
        </w:rPr>
        <w:t>103.72</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主要用于住房公积金支出280,980.00 元，购房补贴支出39,704.00 元</w:t>
      </w:r>
      <w:r>
        <w:rPr>
          <w:rFonts w:hint="eastAsia" w:ascii="仿宋_GB2312" w:hAnsi="宋体" w:eastAsia="仿宋_GB2312" w:cs="Arial"/>
          <w:kern w:val="0"/>
          <w:sz w:val="30"/>
          <w:szCs w:val="30"/>
          <w:highlight w:val="none"/>
          <w:lang w:eastAsia="zh-CN"/>
        </w:rPr>
        <w:t>。造成预决算差异的主要原因是年内增加在职人员，住房公积金支出和购房补贴支出随之增加。</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20.粮油物资储备（类）支出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21.国有资本经营预算（类）支出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22.灾害防治及应急管理（类）支出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23.其他（类）支出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24.债务还本（类）支出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highlight w:val="none"/>
          <w:lang w:val="en-US"/>
        </w:rPr>
        <w:t>25.债务付息（类）支出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highlight w:val="none"/>
          <w:lang w:val="en-US"/>
        </w:rPr>
        <w:t>26.抗疫特别国债安排（类）支出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%,年初无此项预算</w:t>
      </w:r>
      <w:r>
        <w:rPr>
          <w:rFonts w:hint="eastAsia" w:ascii="仿宋_GB2312" w:hAnsi="宋体" w:eastAsia="仿宋_GB2312" w:cs="Arial"/>
          <w:kern w:val="0"/>
          <w:sz w:val="30"/>
          <w:szCs w:val="30"/>
          <w:highlight w:val="none"/>
          <w:lang w:eastAsia="zh-CN"/>
        </w:rPr>
        <w:t>。</w:t>
      </w:r>
    </w:p>
    <w:p>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hAnsi="宋体" w:eastAsia="仿宋_GB2312" w:cs="Arial"/>
          <w:kern w:val="0"/>
          <w:sz w:val="30"/>
          <w:szCs w:val="30"/>
          <w:highlight w:val="none"/>
          <w:lang w:val="en-US" w:eastAsia="zh-CN"/>
        </w:rPr>
        <w:t>2025</w:t>
      </w:r>
      <w:r>
        <w:rPr>
          <w:rFonts w:hint="eastAsia" w:ascii="仿宋_GB2312" w:hAnsi="宋体" w:eastAsia="仿宋_GB2312" w:cs="Arial"/>
          <w:kern w:val="0"/>
          <w:sz w:val="30"/>
          <w:szCs w:val="30"/>
          <w:highlight w:val="none"/>
        </w:rPr>
        <w:t>年度财政拨款“三公”经费支出决算中，财政拨款“三公”经费支出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20,800.00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sz w:val="30"/>
          <w:szCs w:val="30"/>
          <w:highlight w:val="none"/>
          <w:lang w:eastAsia="zh-CN"/>
        </w:rPr>
        <w:t>19</w:t>
      </w:r>
      <w:r>
        <w:rPr>
          <w:rFonts w:hint="eastAsia"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eastAsia="zh-CN"/>
        </w:rPr>
        <w:t>041.93</w:t>
      </w:r>
      <w:r>
        <w:rPr>
          <w:rFonts w:hint="eastAsia" w:ascii="仿宋_GB2312" w:hAnsi="宋体" w:eastAsia="仿宋_GB2312" w:cs="Arial"/>
          <w:kern w:val="0"/>
          <w:sz w:val="30"/>
          <w:szCs w:val="30"/>
          <w:highlight w:val="none"/>
        </w:rPr>
        <w:t>元，完成</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预算的</w:t>
      </w:r>
      <w:r>
        <w:rPr>
          <w:rFonts w:hint="eastAsia" w:ascii="仿宋_GB2312" w:hAnsi="仿宋_GB2312" w:eastAsia="仿宋_GB2312" w:cs="仿宋_GB2312"/>
          <w:sz w:val="30"/>
          <w:szCs w:val="30"/>
          <w:highlight w:val="none"/>
          <w:lang w:val="en-US" w:eastAsia="zh-CN"/>
        </w:rPr>
        <w:t>91.55</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sz w:val="30"/>
          <w:szCs w:val="30"/>
          <w:highlight w:val="none"/>
          <w:lang w:val="en-US" w:eastAsia="zh-CN"/>
        </w:rPr>
        <w:t>3,039.86</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sz w:val="30"/>
          <w:szCs w:val="30"/>
          <w:highlight w:val="none"/>
          <w:lang w:val="en-US" w:eastAsia="zh-CN"/>
        </w:rPr>
        <w:t>13.77</w:t>
      </w:r>
      <w:r>
        <w:rPr>
          <w:rFonts w:hint="eastAsia" w:ascii="仿宋_GB2312" w:hAnsi="宋体" w:eastAsia="仿宋_GB2312" w:cs="Arial"/>
          <w:kern w:val="0"/>
          <w:sz w:val="30"/>
          <w:szCs w:val="30"/>
          <w:highlight w:val="none"/>
          <w:lang w:val="en-US" w:eastAsia="zh-CN"/>
        </w:rPr>
        <w:t>%</w:t>
      </w:r>
      <w:r>
        <w:rPr>
          <w:rFonts w:hint="eastAsia" w:ascii="仿宋_GB2312" w:eastAsia="仿宋_GB2312"/>
          <w:color w:val="auto"/>
          <w:sz w:val="30"/>
          <w:szCs w:val="30"/>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highlight w:val="none"/>
          <w:lang w:eastAsia="zh-CN"/>
        </w:rPr>
      </w:pPr>
      <w:r>
        <w:rPr>
          <w:rFonts w:hint="eastAsia" w:ascii="仿宋_GB2312" w:hAnsi="宋体" w:eastAsia="仿宋_GB2312" w:cs="Arial"/>
          <w:kern w:val="0"/>
          <w:sz w:val="30"/>
          <w:szCs w:val="30"/>
          <w:highlight w:val="none"/>
          <w:lang w:eastAsia="zh-CN"/>
        </w:rPr>
        <w:t>因公出国（境）费用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19,100.00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sz w:val="30"/>
          <w:szCs w:val="30"/>
          <w:highlight w:val="none"/>
          <w:lang w:eastAsia="zh-CN"/>
        </w:rPr>
        <w:t>19</w:t>
      </w:r>
      <w:r>
        <w:rPr>
          <w:rFonts w:hint="eastAsia"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eastAsia="zh-CN"/>
        </w:rPr>
        <w:t>041.93</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sz w:val="30"/>
          <w:szCs w:val="30"/>
          <w:highlight w:val="none"/>
          <w:lang w:val="en-US" w:eastAsia="zh-CN"/>
        </w:rPr>
        <w:t>100.00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sz w:val="30"/>
          <w:szCs w:val="30"/>
          <w:highlight w:val="none"/>
          <w:lang w:val="en-US" w:eastAsia="zh-CN"/>
        </w:rPr>
        <w:t>99.70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sz w:val="30"/>
          <w:szCs w:val="30"/>
          <w:highlight w:val="none"/>
          <w:lang w:val="en-US" w:eastAsia="zh-CN"/>
        </w:rPr>
        <w:t>1,700.00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sz w:val="30"/>
          <w:szCs w:val="30"/>
          <w:highlight w:val="none"/>
          <w:lang w:val="en-US" w:eastAsia="zh-CN"/>
        </w:rPr>
        <w:t>0.00</w:t>
      </w:r>
      <w:r>
        <w:rPr>
          <w:rFonts w:hint="eastAsia" w:ascii="仿宋_GB2312" w:hAnsi="宋体" w:eastAsia="仿宋_GB2312" w:cs="Arial"/>
          <w:kern w:val="0"/>
          <w:sz w:val="30"/>
          <w:szCs w:val="30"/>
          <w:highlight w:val="none"/>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因公出国（境）费用</w:t>
      </w:r>
      <w:r>
        <w:rPr>
          <w:rFonts w:hint="eastAsia" w:ascii="仿宋_GB2312" w:hAnsi="宋体" w:eastAsia="仿宋_GB2312" w:cs="Arial"/>
          <w:kern w:val="0"/>
          <w:sz w:val="30"/>
          <w:szCs w:val="30"/>
          <w:highlight w:val="none"/>
          <w:lang w:eastAsia="zh-CN"/>
        </w:rPr>
        <w:t>支出决算较上年无增减，上年无此项支出；</w:t>
      </w:r>
      <w:r>
        <w:rPr>
          <w:rFonts w:hint="eastAsia" w:ascii="仿宋_GB2312" w:eastAsia="仿宋_GB2312"/>
          <w:sz w:val="30"/>
          <w:szCs w:val="30"/>
          <w:highlight w:val="none"/>
        </w:rPr>
        <w:t>公务用车购置费</w:t>
      </w:r>
      <w:r>
        <w:rPr>
          <w:rFonts w:hint="eastAsia" w:ascii="仿宋_GB2312" w:hAnsi="宋体" w:eastAsia="仿宋_GB2312" w:cs="Arial"/>
          <w:kern w:val="0"/>
          <w:sz w:val="30"/>
          <w:szCs w:val="30"/>
          <w:highlight w:val="none"/>
          <w:lang w:eastAsia="zh-CN"/>
        </w:rPr>
        <w:t>支出决算较上年无增减，上年无此项支出；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sz w:val="30"/>
          <w:szCs w:val="30"/>
          <w:highlight w:val="none"/>
          <w:lang w:val="en-US" w:eastAsia="zh-CN"/>
        </w:rPr>
        <w:t>3,039.86</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sz w:val="30"/>
          <w:szCs w:val="30"/>
          <w:highlight w:val="none"/>
          <w:lang w:val="en-US" w:eastAsia="zh-CN"/>
        </w:rPr>
        <w:t>13.77</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公务接待费</w:t>
      </w:r>
      <w:r>
        <w:rPr>
          <w:rFonts w:hint="eastAsia" w:ascii="仿宋_GB2312" w:hAnsi="宋体" w:eastAsia="仿宋_GB2312" w:cs="Arial"/>
          <w:kern w:val="0"/>
          <w:sz w:val="30"/>
          <w:szCs w:val="30"/>
          <w:highlight w:val="none"/>
          <w:lang w:eastAsia="zh-CN"/>
        </w:rPr>
        <w:t>支出决算较上年无增减，上年无此项支出。</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sz w:val="30"/>
          <w:szCs w:val="30"/>
          <w:highlight w:val="none"/>
          <w:lang w:val="en-US" w:eastAsia="zh-CN"/>
        </w:rPr>
        <w:t>20,800.00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sz w:val="30"/>
          <w:szCs w:val="30"/>
          <w:highlight w:val="none"/>
          <w:lang w:eastAsia="zh-CN"/>
        </w:rPr>
        <w:t>19</w:t>
      </w:r>
      <w:r>
        <w:rPr>
          <w:rFonts w:hint="eastAsia"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eastAsia="zh-CN"/>
        </w:rPr>
        <w:t>041.93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sz w:val="30"/>
          <w:szCs w:val="30"/>
          <w:highlight w:val="none"/>
          <w:lang w:val="en-US" w:eastAsia="zh-CN"/>
        </w:rPr>
        <w:t>91.55</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sz w:val="30"/>
          <w:szCs w:val="30"/>
          <w:highlight w:val="none"/>
          <w:lang w:val="en-US" w:eastAsia="zh-CN"/>
        </w:rPr>
        <w:t>3,039.86</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sz w:val="30"/>
          <w:szCs w:val="30"/>
          <w:highlight w:val="none"/>
          <w:lang w:val="en-US" w:eastAsia="zh-CN"/>
        </w:rPr>
        <w:t>13.77</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中：因公出国（境）费用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sz w:val="30"/>
          <w:szCs w:val="30"/>
          <w:highlight w:val="none"/>
          <w:lang w:val="en-US" w:eastAsia="zh-CN"/>
        </w:rPr>
        <w:t>19,100.00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sz w:val="30"/>
          <w:szCs w:val="30"/>
          <w:highlight w:val="none"/>
          <w:lang w:eastAsia="zh-CN"/>
        </w:rPr>
        <w:t>19</w:t>
      </w:r>
      <w:r>
        <w:rPr>
          <w:rFonts w:hint="eastAsia"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eastAsia="zh-CN"/>
        </w:rPr>
        <w:t>041.93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sz w:val="30"/>
          <w:szCs w:val="30"/>
          <w:highlight w:val="none"/>
          <w:lang w:val="en-US" w:eastAsia="zh-CN"/>
        </w:rPr>
        <w:t>99.70</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sz w:val="30"/>
          <w:szCs w:val="30"/>
          <w:highlight w:val="none"/>
          <w:lang w:val="en-US" w:eastAsia="zh-CN"/>
        </w:rPr>
        <w:t>1,700.00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年度一般公共预算财政拨款“三公”经费支出决算数小于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预算数的</w:t>
      </w:r>
      <w:r>
        <w:rPr>
          <w:rFonts w:hint="eastAsia" w:ascii="仿宋_GB2312" w:eastAsia="仿宋_GB2312"/>
          <w:sz w:val="30"/>
          <w:szCs w:val="30"/>
          <w:highlight w:val="none"/>
          <w:lang w:eastAsia="zh-CN"/>
        </w:rPr>
        <w:t>主要原因是公务用车运行维护费和接待费均严格执行厉行节约政策。</w:t>
      </w:r>
    </w:p>
    <w:p>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中：因公出国（境）费用</w:t>
      </w:r>
      <w:r>
        <w:rPr>
          <w:rFonts w:hint="eastAsia" w:ascii="仿宋_GB2312" w:eastAsia="仿宋_GB2312"/>
          <w:sz w:val="30"/>
          <w:szCs w:val="30"/>
          <w:highlight w:val="none"/>
        </w:rPr>
        <w:t>支出决算</w:t>
      </w:r>
      <w:r>
        <w:rPr>
          <w:rFonts w:hint="eastAsia" w:ascii="仿宋_GB2312" w:eastAsia="仿宋_GB2312"/>
          <w:sz w:val="30"/>
          <w:szCs w:val="30"/>
          <w:highlight w:val="none"/>
          <w:lang w:eastAsia="zh-CN"/>
        </w:rPr>
        <w:t>无增减</w:t>
      </w:r>
      <w:r>
        <w:rPr>
          <w:rFonts w:hint="eastAsia" w:ascii="仿宋_GB2312" w:eastAsia="仿宋_GB2312"/>
          <w:sz w:val="30"/>
          <w:szCs w:val="30"/>
          <w:highlight w:val="none"/>
        </w:rPr>
        <w:t>，上年无此项支出</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公务用车购置费支出决算</w:t>
      </w:r>
      <w:r>
        <w:rPr>
          <w:rFonts w:hint="eastAsia" w:ascii="仿宋_GB2312" w:eastAsia="仿宋_GB2312"/>
          <w:sz w:val="30"/>
          <w:szCs w:val="30"/>
          <w:highlight w:val="none"/>
          <w:lang w:eastAsia="zh-CN"/>
        </w:rPr>
        <w:t>无增减</w:t>
      </w:r>
      <w:r>
        <w:rPr>
          <w:rFonts w:hint="eastAsia" w:ascii="仿宋_GB2312" w:eastAsia="仿宋_GB2312"/>
          <w:sz w:val="30"/>
          <w:szCs w:val="30"/>
          <w:highlight w:val="none"/>
        </w:rPr>
        <w:t>，上年无此项支出；公务用车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支出决算减少</w:t>
      </w:r>
      <w:r>
        <w:rPr>
          <w:rFonts w:hint="eastAsia" w:ascii="仿宋_GB2312" w:hAnsi="仿宋_GB2312" w:eastAsia="仿宋_GB2312" w:cs="仿宋_GB2312"/>
          <w:sz w:val="30"/>
          <w:szCs w:val="30"/>
          <w:highlight w:val="none"/>
          <w:lang w:val="en-US" w:eastAsia="zh-CN"/>
        </w:rPr>
        <w:t>3,039.86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，下降</w:t>
      </w:r>
      <w:r>
        <w:rPr>
          <w:rFonts w:hint="eastAsia" w:ascii="仿宋_GB2312" w:hAnsi="仿宋_GB2312" w:eastAsia="仿宋_GB2312" w:cs="仿宋_GB2312"/>
          <w:sz w:val="30"/>
          <w:szCs w:val="30"/>
          <w:highlight w:val="none"/>
          <w:lang w:val="en-US" w:eastAsia="zh-CN"/>
        </w:rPr>
        <w:t>13.77</w:t>
      </w:r>
      <w:r>
        <w:rPr>
          <w:rFonts w:hint="eastAsia" w:ascii="仿宋_GB2312" w:eastAsia="仿宋_GB2312"/>
          <w:sz w:val="30"/>
          <w:szCs w:val="30"/>
          <w:highlight w:val="none"/>
        </w:rPr>
        <w:t>%；公务接待费支出决算</w:t>
      </w:r>
      <w:r>
        <w:rPr>
          <w:rFonts w:hint="eastAsia" w:ascii="仿宋_GB2312" w:eastAsia="仿宋_GB2312"/>
          <w:sz w:val="30"/>
          <w:szCs w:val="30"/>
          <w:highlight w:val="none"/>
          <w:lang w:eastAsia="zh-CN"/>
        </w:rPr>
        <w:t>无增减</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年度一般公共预算财政拨款“三公”经费支出决算减少的主要原因</w:t>
      </w:r>
      <w:r>
        <w:rPr>
          <w:rFonts w:hint="eastAsia" w:ascii="仿宋_GB2312" w:eastAsia="仿宋_GB2312"/>
          <w:sz w:val="30"/>
          <w:szCs w:val="30"/>
          <w:highlight w:val="none"/>
          <w:lang w:eastAsia="zh-CN"/>
        </w:rPr>
        <w:t>是公务用车运行维护费和接待费</w:t>
      </w:r>
      <w:bookmarkStart w:id="0" w:name="_GoBack"/>
      <w:bookmarkEnd w:id="0"/>
      <w:r>
        <w:rPr>
          <w:rFonts w:hint="eastAsia" w:ascii="仿宋_GB2312" w:eastAsia="仿宋_GB2312"/>
          <w:sz w:val="30"/>
          <w:szCs w:val="30"/>
          <w:highlight w:val="none"/>
          <w:lang w:eastAsia="zh-CN"/>
        </w:rPr>
        <w:t>严格执行厉行节约政策。</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sz w:val="30"/>
          <w:szCs w:val="30"/>
          <w:highlight w:val="none"/>
          <w:lang w:val="en-US" w:eastAsia="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sz w:val="30"/>
          <w:szCs w:val="30"/>
          <w:highlight w:val="none"/>
          <w:lang w:val="en-US" w:eastAsia="zh-CN"/>
        </w:rPr>
        <w:t>0</w:t>
      </w:r>
      <w:r>
        <w:rPr>
          <w:rFonts w:hint="eastAsia" w:ascii="仿宋_GB2312" w:eastAsia="仿宋_GB2312"/>
          <w:b w:val="0"/>
          <w:bCs/>
          <w:sz w:val="30"/>
          <w:szCs w:val="30"/>
          <w:highlight w:val="none"/>
        </w:rPr>
        <w:t>人次。</w:t>
      </w:r>
    </w:p>
    <w:p>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sz w:val="30"/>
          <w:szCs w:val="30"/>
          <w:highlight w:val="none"/>
          <w:lang w:val="en-US" w:eastAsia="zh-CN"/>
        </w:rPr>
        <w:t>0</w:t>
      </w:r>
      <w:r>
        <w:rPr>
          <w:rFonts w:hint="eastAsia" w:ascii="仿宋_GB2312" w:eastAsia="仿宋_GB2312"/>
          <w:b w:val="0"/>
          <w:bCs/>
          <w:sz w:val="30"/>
          <w:szCs w:val="30"/>
          <w:highlight w:val="none"/>
        </w:rPr>
        <w:t>辆。</w:t>
      </w:r>
    </w:p>
    <w:p>
      <w:pPr>
        <w:widowControl/>
        <w:snapToGrid w:val="0"/>
        <w:spacing w:before="100" w:after="100" w:line="360" w:lineRule="auto"/>
        <w:ind w:firstLine="600" w:firstLineChars="200"/>
        <w:jc w:val="left"/>
        <w:rPr>
          <w:rFonts w:hint="eastAsia" w:ascii="仿宋_GB2312" w:eastAsia="仿宋_GB2312"/>
          <w:b w:val="0"/>
          <w:bCs/>
          <w:color w:val="FF0000"/>
          <w:sz w:val="30"/>
          <w:szCs w:val="30"/>
          <w:highlight w:val="none"/>
          <w:lang w:eastAsia="zh-CN"/>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sz w:val="30"/>
          <w:szCs w:val="30"/>
          <w:highlight w:val="none"/>
          <w:lang w:val="en-US" w:eastAsia="zh-CN"/>
        </w:rPr>
        <w:t>0</w:t>
      </w:r>
      <w:r>
        <w:rPr>
          <w:rFonts w:hint="eastAsia" w:ascii="仿宋_GB2312" w:eastAsia="仿宋_GB2312"/>
          <w:sz w:val="30"/>
          <w:szCs w:val="30"/>
          <w:highlight w:val="none"/>
        </w:rPr>
        <w:t>批次</w:t>
      </w:r>
      <w:r>
        <w:rPr>
          <w:rFonts w:hint="eastAsia" w:ascii="仿宋_GB2312" w:eastAsia="仿宋_GB2312"/>
          <w:sz w:val="30"/>
          <w:szCs w:val="30"/>
          <w:highlight w:val="none"/>
          <w:lang w:eastAsia="zh-CN"/>
        </w:rPr>
        <w:t>。</w:t>
      </w:r>
    </w:p>
    <w:p>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p>
    <w:p>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玉溪市公路工程质量监督站202</w:t>
      </w:r>
      <w:r>
        <w:rPr>
          <w:rFonts w:hint="eastAsia" w:ascii="仿宋_GB2312" w:hAnsi="仿宋_GB2312" w:eastAsia="仿宋_GB2312" w:cs="仿宋_GB2312"/>
          <w:color w:val="auto"/>
          <w:sz w:val="30"/>
          <w:lang w:val="en-US" w:eastAsia="zh-CN"/>
        </w:rPr>
        <w:t>5</w:t>
      </w:r>
      <w:r>
        <w:rPr>
          <w:rFonts w:hint="eastAsia" w:ascii="仿宋_GB2312" w:hAnsi="仿宋_GB2312" w:eastAsia="仿宋_GB2312" w:cs="仿宋_GB2312"/>
          <w:color w:val="auto"/>
          <w:sz w:val="30"/>
          <w:lang w:val="zh-CN"/>
        </w:rPr>
        <w:t>年机关运行经费支出0.00元，与上年对比无增减变化，主要原因是单位为全额拨款事业单位，不在机关运行经费核算范围。</w:t>
      </w:r>
    </w:p>
    <w:p>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截至2025年末，玉溪市公路工程质量监督站资产总额580</w:t>
      </w:r>
      <w:r>
        <w:rPr>
          <w:rFonts w:hint="eastAsia"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eastAsia="zh-CN"/>
        </w:rPr>
        <w:t>706.47元，其中，流动资产</w:t>
      </w:r>
      <w:r>
        <w:rPr>
          <w:rFonts w:hint="eastAsia" w:ascii="仿宋_GB2312" w:hAnsi="仿宋_GB2312" w:eastAsia="仿宋_GB2312" w:cs="仿宋_GB2312"/>
          <w:sz w:val="30"/>
          <w:szCs w:val="30"/>
          <w:highlight w:val="none"/>
          <w:lang w:val="en-US" w:eastAsia="zh-CN"/>
        </w:rPr>
        <w:t>335.00</w:t>
      </w:r>
      <w:r>
        <w:rPr>
          <w:rFonts w:hint="eastAsia" w:ascii="仿宋_GB2312" w:hAnsi="仿宋_GB2312" w:eastAsia="仿宋_GB2312" w:cs="仿宋_GB2312"/>
          <w:sz w:val="30"/>
          <w:szCs w:val="30"/>
          <w:highlight w:val="none"/>
          <w:lang w:eastAsia="zh-CN"/>
        </w:rPr>
        <w:t>，固定资产570</w:t>
      </w:r>
      <w:r>
        <w:rPr>
          <w:rFonts w:hint="eastAsia"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eastAsia="zh-CN"/>
        </w:rPr>
        <w:t>845.65元（净值），对外投资及有价证券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元，无形资产9</w:t>
      </w:r>
      <w:r>
        <w:rPr>
          <w:rFonts w:hint="eastAsia"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eastAsia="zh-CN"/>
        </w:rPr>
        <w:t>525.82元（净值），其他资产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。与上年相比，本年资产总额增加</w:t>
      </w:r>
      <w:r>
        <w:rPr>
          <w:rFonts w:hint="eastAsia" w:ascii="仿宋_GB2312" w:hAnsi="黑体" w:eastAsia="仿宋_GB2312" w:cs="方正小标宋简体"/>
          <w:color w:val="000000"/>
          <w:kern w:val="0"/>
          <w:sz w:val="30"/>
          <w:szCs w:val="30"/>
          <w:highlight w:val="none"/>
          <w:lang w:val="en-US" w:eastAsia="zh-CN"/>
        </w:rPr>
        <w:t>18,371.47</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w:t>
      </w:r>
      <w:r>
        <w:rPr>
          <w:rFonts w:hint="eastAsia" w:ascii="仿宋_GB2312" w:hAnsi="黑体" w:eastAsia="仿宋_GB2312" w:cs="方正小标宋简体"/>
          <w:color w:val="000000"/>
          <w:kern w:val="0"/>
          <w:sz w:val="30"/>
          <w:szCs w:val="30"/>
          <w:highlight w:val="none"/>
          <w:lang w:eastAsia="zh-CN"/>
        </w:rPr>
        <w:t>原值</w:t>
      </w:r>
      <w:r>
        <w:rPr>
          <w:rFonts w:hint="eastAsia" w:ascii="仿宋_GB2312" w:hAnsi="黑体" w:eastAsia="仿宋_GB2312" w:cs="方正小标宋简体"/>
          <w:color w:val="000000"/>
          <w:kern w:val="0"/>
          <w:sz w:val="30"/>
          <w:szCs w:val="30"/>
          <w:highlight w:val="none"/>
        </w:rPr>
        <w:t>）增加</w:t>
      </w:r>
      <w:r>
        <w:rPr>
          <w:rFonts w:hint="eastAsia" w:ascii="仿宋_GB2312" w:hAnsi="黑体" w:eastAsia="仿宋_GB2312" w:cs="方正小标宋简体"/>
          <w:color w:val="000000"/>
          <w:kern w:val="0"/>
          <w:sz w:val="30"/>
          <w:szCs w:val="30"/>
          <w:highlight w:val="none"/>
          <w:lang w:val="en-US" w:eastAsia="zh-CN"/>
        </w:rPr>
        <w:t>60,958.60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lang w:val="en-US" w:eastAsia="zh-CN"/>
        </w:rPr>
        <w:t>,正常计提固定资产折旧40,417.70元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p>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2025年度，单位政府采购支出总额22,201.93元，其中：政府采购货物支出8,321.00元；政府采购工程支出0.00元；政府采购服务支出13,880.93元。授予中小企业合同金额11,943.00元，其中：授予小微企业合同金额11,943.00元。</w:t>
      </w:r>
    </w:p>
    <w:p>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pPr>
        <w:ind w:firstLine="600" w:firstLineChars="200"/>
        <w:jc w:val="left"/>
        <w:rPr>
          <w:rFonts w:hint="eastAsia" w:ascii="仿宋_GB2312" w:hAnsi="黑体" w:eastAsia="仿宋_GB2312" w:cs="方正小标宋简体"/>
          <w:color w:val="auto"/>
          <w:sz w:val="30"/>
          <w:szCs w:val="30"/>
          <w:highlight w:val="none"/>
          <w:lang w:eastAsia="zh-CN"/>
        </w:rPr>
      </w:pPr>
      <w:r>
        <w:rPr>
          <w:rFonts w:hint="eastAsia" w:ascii="仿宋_GB2312" w:hAnsi="黑体" w:eastAsia="仿宋_GB2312" w:cs="方正小标宋简体"/>
          <w:color w:val="auto"/>
          <w:sz w:val="30"/>
          <w:szCs w:val="30"/>
          <w:highlight w:val="none"/>
          <w:lang w:eastAsia="zh-CN"/>
        </w:rPr>
        <w:t>无</w:t>
      </w:r>
    </w:p>
    <w:p>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、公务用车购置及运行维护费、公务接待费。其中：</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4D"/>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2000000000000000000"/>
    <w:charset w:val="86"/>
    <w:family w:val="script"/>
    <w:pitch w:val="default"/>
    <w:sig w:usb0="00000000" w:usb1="00000000"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3"/>
                            <w:rPr>
                              <w:rStyle w:val="6"/>
                            </w:rPr>
                          </w:pPr>
                          <w:r>
                            <w:rPr>
                              <w:sz w:val="28"/>
                              <w:szCs w:val="28"/>
                            </w:rPr>
                            <w:fldChar w:fldCharType="begin"/>
                          </w:r>
                          <w:r>
                            <w:rPr>
                              <w:rStyle w:val="6"/>
                              <w:sz w:val="28"/>
                              <w:szCs w:val="28"/>
                            </w:rPr>
                            <w:instrText xml:space="preserve">PAGE  </w:instrText>
                          </w:r>
                          <w:r>
                            <w:rPr>
                              <w:sz w:val="28"/>
                              <w:szCs w:val="28"/>
                            </w:rPr>
                            <w:fldChar w:fldCharType="separate"/>
                          </w:r>
                          <w:r>
                            <w:rPr>
                              <w:rStyle w:val="6"/>
                              <w:sz w:val="28"/>
                              <w:szCs w:val="28"/>
                            </w:rPr>
                            <w:t>8</w:t>
                          </w:r>
                          <w:r>
                            <w:rPr>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3"/>
                      <w:rPr>
                        <w:rStyle w:val="6"/>
                      </w:rPr>
                    </w:pPr>
                    <w:r>
                      <w:rPr>
                        <w:sz w:val="28"/>
                        <w:szCs w:val="28"/>
                      </w:rPr>
                      <w:fldChar w:fldCharType="begin"/>
                    </w:r>
                    <w:r>
                      <w:rPr>
                        <w:rStyle w:val="6"/>
                        <w:sz w:val="28"/>
                        <w:szCs w:val="28"/>
                      </w:rPr>
                      <w:instrText xml:space="preserve">PAGE  </w:instrText>
                    </w:r>
                    <w:r>
                      <w:rPr>
                        <w:sz w:val="28"/>
                        <w:szCs w:val="28"/>
                      </w:rPr>
                      <w:fldChar w:fldCharType="separate"/>
                    </w:r>
                    <w:r>
                      <w:rPr>
                        <w:rStyle w:val="6"/>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fldChar w:fldCharType="begin"/>
    </w:r>
    <w:r>
      <w:rPr>
        <w:rStyle w:val="6"/>
      </w:rPr>
      <w:instrText xml:space="preserve">PAGE  </w:instrText>
    </w:r>
    <w:r>
      <w:fldChar w:fldCharType="separate"/>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09A084"/>
    <w:multiLevelType w:val="singleLevel"/>
    <w:tmpl w:val="B809A08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6D5B44"/>
    <w:rsid w:val="00180B30"/>
    <w:rsid w:val="00295221"/>
    <w:rsid w:val="004428D7"/>
    <w:rsid w:val="007769FD"/>
    <w:rsid w:val="009D25BF"/>
    <w:rsid w:val="01207E49"/>
    <w:rsid w:val="012E3545"/>
    <w:rsid w:val="0198754B"/>
    <w:rsid w:val="01ED26C2"/>
    <w:rsid w:val="025811C6"/>
    <w:rsid w:val="02896555"/>
    <w:rsid w:val="029B292C"/>
    <w:rsid w:val="02B75F93"/>
    <w:rsid w:val="02B871BB"/>
    <w:rsid w:val="02E24634"/>
    <w:rsid w:val="02FB33E1"/>
    <w:rsid w:val="03305DE9"/>
    <w:rsid w:val="034D0487"/>
    <w:rsid w:val="03B11286"/>
    <w:rsid w:val="03CA58FE"/>
    <w:rsid w:val="041A7827"/>
    <w:rsid w:val="04271BFA"/>
    <w:rsid w:val="04BC11CE"/>
    <w:rsid w:val="04C10576"/>
    <w:rsid w:val="05174717"/>
    <w:rsid w:val="0574646B"/>
    <w:rsid w:val="058F13D8"/>
    <w:rsid w:val="059C5753"/>
    <w:rsid w:val="05DC7F46"/>
    <w:rsid w:val="05E97883"/>
    <w:rsid w:val="06016AB1"/>
    <w:rsid w:val="060B1C24"/>
    <w:rsid w:val="062A0404"/>
    <w:rsid w:val="06444EBA"/>
    <w:rsid w:val="065D0EEB"/>
    <w:rsid w:val="067D4F13"/>
    <w:rsid w:val="073B1446"/>
    <w:rsid w:val="07405F45"/>
    <w:rsid w:val="074E4226"/>
    <w:rsid w:val="075C4FC8"/>
    <w:rsid w:val="07A429A1"/>
    <w:rsid w:val="07B029A5"/>
    <w:rsid w:val="07BB3ECB"/>
    <w:rsid w:val="089E4E3D"/>
    <w:rsid w:val="08D05336"/>
    <w:rsid w:val="08D44158"/>
    <w:rsid w:val="08D73239"/>
    <w:rsid w:val="08F51F25"/>
    <w:rsid w:val="0944019E"/>
    <w:rsid w:val="09495E92"/>
    <w:rsid w:val="095E4341"/>
    <w:rsid w:val="09EF4584"/>
    <w:rsid w:val="0A095F75"/>
    <w:rsid w:val="0A225E71"/>
    <w:rsid w:val="0A3177B0"/>
    <w:rsid w:val="0A51772C"/>
    <w:rsid w:val="0A5C0B70"/>
    <w:rsid w:val="0A96061B"/>
    <w:rsid w:val="0B2129CD"/>
    <w:rsid w:val="0B6111D7"/>
    <w:rsid w:val="0B7856C6"/>
    <w:rsid w:val="0B870169"/>
    <w:rsid w:val="0C16119B"/>
    <w:rsid w:val="0C3F033D"/>
    <w:rsid w:val="0C5F7290"/>
    <w:rsid w:val="0C9678DC"/>
    <w:rsid w:val="0D11231B"/>
    <w:rsid w:val="0D805349"/>
    <w:rsid w:val="0D974C37"/>
    <w:rsid w:val="0DAD6122"/>
    <w:rsid w:val="0DE011E3"/>
    <w:rsid w:val="0E260B59"/>
    <w:rsid w:val="0E36301F"/>
    <w:rsid w:val="0E3E6995"/>
    <w:rsid w:val="0E522B37"/>
    <w:rsid w:val="0E9E11F2"/>
    <w:rsid w:val="0ED33725"/>
    <w:rsid w:val="0EEE1C8C"/>
    <w:rsid w:val="0EFF905A"/>
    <w:rsid w:val="0F04182F"/>
    <w:rsid w:val="0F567CC7"/>
    <w:rsid w:val="0F912D77"/>
    <w:rsid w:val="0FA0503D"/>
    <w:rsid w:val="0FAA4025"/>
    <w:rsid w:val="106C3C32"/>
    <w:rsid w:val="10A96308"/>
    <w:rsid w:val="10C74EB5"/>
    <w:rsid w:val="10CC4F4C"/>
    <w:rsid w:val="10D57F53"/>
    <w:rsid w:val="10F92FC2"/>
    <w:rsid w:val="1162153A"/>
    <w:rsid w:val="11A074A9"/>
    <w:rsid w:val="11B85B08"/>
    <w:rsid w:val="11CA0D81"/>
    <w:rsid w:val="12192820"/>
    <w:rsid w:val="12B37192"/>
    <w:rsid w:val="12CA3600"/>
    <w:rsid w:val="13174A9C"/>
    <w:rsid w:val="133D1BD6"/>
    <w:rsid w:val="141806CE"/>
    <w:rsid w:val="14AE268B"/>
    <w:rsid w:val="14E6571C"/>
    <w:rsid w:val="15081CAF"/>
    <w:rsid w:val="154214E8"/>
    <w:rsid w:val="15E37E25"/>
    <w:rsid w:val="16007566"/>
    <w:rsid w:val="16020FCA"/>
    <w:rsid w:val="1658184C"/>
    <w:rsid w:val="16662B77"/>
    <w:rsid w:val="167105AF"/>
    <w:rsid w:val="16875E24"/>
    <w:rsid w:val="16A46C02"/>
    <w:rsid w:val="16F67E8F"/>
    <w:rsid w:val="175A544A"/>
    <w:rsid w:val="17DC2136"/>
    <w:rsid w:val="17DF1149"/>
    <w:rsid w:val="18212C19"/>
    <w:rsid w:val="18EB5F6F"/>
    <w:rsid w:val="18ED5BAC"/>
    <w:rsid w:val="18F42ED9"/>
    <w:rsid w:val="19024D8D"/>
    <w:rsid w:val="191028B7"/>
    <w:rsid w:val="19326BF6"/>
    <w:rsid w:val="194A1951"/>
    <w:rsid w:val="196F58D1"/>
    <w:rsid w:val="19EF2C27"/>
    <w:rsid w:val="1A1F018C"/>
    <w:rsid w:val="1A2B1B6F"/>
    <w:rsid w:val="1A473E5F"/>
    <w:rsid w:val="1A4B77A0"/>
    <w:rsid w:val="1A555294"/>
    <w:rsid w:val="1A977CC8"/>
    <w:rsid w:val="1AB64312"/>
    <w:rsid w:val="1AC93A74"/>
    <w:rsid w:val="1ADD6866"/>
    <w:rsid w:val="1AE314CA"/>
    <w:rsid w:val="1AEB2A75"/>
    <w:rsid w:val="1AEC1322"/>
    <w:rsid w:val="1AF03547"/>
    <w:rsid w:val="1AF570FB"/>
    <w:rsid w:val="1B291FC1"/>
    <w:rsid w:val="1B512D88"/>
    <w:rsid w:val="1BD6226A"/>
    <w:rsid w:val="1C060756"/>
    <w:rsid w:val="1C4B3050"/>
    <w:rsid w:val="1C951110"/>
    <w:rsid w:val="1C982A4B"/>
    <w:rsid w:val="1CA001A1"/>
    <w:rsid w:val="1CA2700A"/>
    <w:rsid w:val="1D2C0DC3"/>
    <w:rsid w:val="1D4D5A3F"/>
    <w:rsid w:val="1D5E2154"/>
    <w:rsid w:val="1DB86B36"/>
    <w:rsid w:val="1E1A4F9E"/>
    <w:rsid w:val="1E842C65"/>
    <w:rsid w:val="1E8C1E71"/>
    <w:rsid w:val="1E912C74"/>
    <w:rsid w:val="1EE05F70"/>
    <w:rsid w:val="1EE76EF1"/>
    <w:rsid w:val="1F174475"/>
    <w:rsid w:val="1F1D5657"/>
    <w:rsid w:val="1F262A0A"/>
    <w:rsid w:val="1F8D7EC2"/>
    <w:rsid w:val="2005391D"/>
    <w:rsid w:val="20404643"/>
    <w:rsid w:val="205F017A"/>
    <w:rsid w:val="206728E8"/>
    <w:rsid w:val="208C5FC9"/>
    <w:rsid w:val="20AC638C"/>
    <w:rsid w:val="20BA7ED4"/>
    <w:rsid w:val="20D7044D"/>
    <w:rsid w:val="20E47C64"/>
    <w:rsid w:val="210F22C5"/>
    <w:rsid w:val="21211468"/>
    <w:rsid w:val="21231873"/>
    <w:rsid w:val="21485CA7"/>
    <w:rsid w:val="21494BAA"/>
    <w:rsid w:val="217B5541"/>
    <w:rsid w:val="218B504F"/>
    <w:rsid w:val="218E7681"/>
    <w:rsid w:val="2194487E"/>
    <w:rsid w:val="21B519F4"/>
    <w:rsid w:val="21CB04C7"/>
    <w:rsid w:val="21E01D62"/>
    <w:rsid w:val="21F3287C"/>
    <w:rsid w:val="2222656A"/>
    <w:rsid w:val="224F1F1F"/>
    <w:rsid w:val="225F006D"/>
    <w:rsid w:val="22736EC0"/>
    <w:rsid w:val="22904445"/>
    <w:rsid w:val="22BE7196"/>
    <w:rsid w:val="22F63D7D"/>
    <w:rsid w:val="22FE172B"/>
    <w:rsid w:val="22FF4B33"/>
    <w:rsid w:val="23090C44"/>
    <w:rsid w:val="231D41B2"/>
    <w:rsid w:val="236F7A9C"/>
    <w:rsid w:val="2372573E"/>
    <w:rsid w:val="23731D80"/>
    <w:rsid w:val="239422C2"/>
    <w:rsid w:val="23E06206"/>
    <w:rsid w:val="23FC6838"/>
    <w:rsid w:val="2406257A"/>
    <w:rsid w:val="24067402"/>
    <w:rsid w:val="24883467"/>
    <w:rsid w:val="24C1257F"/>
    <w:rsid w:val="253936BF"/>
    <w:rsid w:val="25A131FF"/>
    <w:rsid w:val="25AF2274"/>
    <w:rsid w:val="25BD0873"/>
    <w:rsid w:val="25C828BD"/>
    <w:rsid w:val="261B19B5"/>
    <w:rsid w:val="262B61F3"/>
    <w:rsid w:val="26551548"/>
    <w:rsid w:val="26A32E80"/>
    <w:rsid w:val="26C9124A"/>
    <w:rsid w:val="26E302AC"/>
    <w:rsid w:val="26E716EB"/>
    <w:rsid w:val="26E821F4"/>
    <w:rsid w:val="26F32549"/>
    <w:rsid w:val="27811B2D"/>
    <w:rsid w:val="27F85AB9"/>
    <w:rsid w:val="28007168"/>
    <w:rsid w:val="28032F29"/>
    <w:rsid w:val="28732C56"/>
    <w:rsid w:val="28911401"/>
    <w:rsid w:val="28EF77AE"/>
    <w:rsid w:val="290465B4"/>
    <w:rsid w:val="291A1CD0"/>
    <w:rsid w:val="292345FF"/>
    <w:rsid w:val="29713E9A"/>
    <w:rsid w:val="2988177C"/>
    <w:rsid w:val="29964E62"/>
    <w:rsid w:val="29AF2EC1"/>
    <w:rsid w:val="29F379FC"/>
    <w:rsid w:val="29F75FB8"/>
    <w:rsid w:val="2A1B2E51"/>
    <w:rsid w:val="2A4250E7"/>
    <w:rsid w:val="2A470D3B"/>
    <w:rsid w:val="2A63427A"/>
    <w:rsid w:val="2A9A2652"/>
    <w:rsid w:val="2ACE3513"/>
    <w:rsid w:val="2ADD0968"/>
    <w:rsid w:val="2B1B7108"/>
    <w:rsid w:val="2B275555"/>
    <w:rsid w:val="2B87285B"/>
    <w:rsid w:val="2BA25686"/>
    <w:rsid w:val="2BBB79B6"/>
    <w:rsid w:val="2BD173A2"/>
    <w:rsid w:val="2C325893"/>
    <w:rsid w:val="2C39073D"/>
    <w:rsid w:val="2C49057B"/>
    <w:rsid w:val="2C6D413B"/>
    <w:rsid w:val="2C6E752F"/>
    <w:rsid w:val="2C8B49F0"/>
    <w:rsid w:val="2CA07FE0"/>
    <w:rsid w:val="2CF73501"/>
    <w:rsid w:val="2CFA1B54"/>
    <w:rsid w:val="2D6A0CD0"/>
    <w:rsid w:val="2D6E47ED"/>
    <w:rsid w:val="2DB839F8"/>
    <w:rsid w:val="2DB93F6F"/>
    <w:rsid w:val="2DBC2EE6"/>
    <w:rsid w:val="2E001FA1"/>
    <w:rsid w:val="2E19735E"/>
    <w:rsid w:val="2E311C70"/>
    <w:rsid w:val="2EC200F1"/>
    <w:rsid w:val="2EEC20C5"/>
    <w:rsid w:val="2F070B32"/>
    <w:rsid w:val="2F5319D5"/>
    <w:rsid w:val="2F6F68DF"/>
    <w:rsid w:val="2F7A1F8E"/>
    <w:rsid w:val="2FDC28DB"/>
    <w:rsid w:val="30006F3F"/>
    <w:rsid w:val="30170C37"/>
    <w:rsid w:val="307E00A8"/>
    <w:rsid w:val="30987FD3"/>
    <w:rsid w:val="309D69CA"/>
    <w:rsid w:val="30B90B35"/>
    <w:rsid w:val="30F10F6B"/>
    <w:rsid w:val="31290D56"/>
    <w:rsid w:val="31297A22"/>
    <w:rsid w:val="31A07D10"/>
    <w:rsid w:val="32353CF2"/>
    <w:rsid w:val="32367BE1"/>
    <w:rsid w:val="32435DDB"/>
    <w:rsid w:val="325A3939"/>
    <w:rsid w:val="329747D7"/>
    <w:rsid w:val="32A34D83"/>
    <w:rsid w:val="32D1258E"/>
    <w:rsid w:val="334D2E2A"/>
    <w:rsid w:val="339B40BE"/>
    <w:rsid w:val="33EF767C"/>
    <w:rsid w:val="34031CD9"/>
    <w:rsid w:val="34164660"/>
    <w:rsid w:val="3484654D"/>
    <w:rsid w:val="34C358E4"/>
    <w:rsid w:val="34ED2FD4"/>
    <w:rsid w:val="35193A9B"/>
    <w:rsid w:val="35303C9D"/>
    <w:rsid w:val="359B67E6"/>
    <w:rsid w:val="35E72C38"/>
    <w:rsid w:val="360B4DA5"/>
    <w:rsid w:val="364B5651"/>
    <w:rsid w:val="364F30EB"/>
    <w:rsid w:val="369F7346"/>
    <w:rsid w:val="36A645FC"/>
    <w:rsid w:val="36DE447A"/>
    <w:rsid w:val="36F315F4"/>
    <w:rsid w:val="37282ED2"/>
    <w:rsid w:val="38892B9F"/>
    <w:rsid w:val="388C1B47"/>
    <w:rsid w:val="38D163E1"/>
    <w:rsid w:val="38DE5FCC"/>
    <w:rsid w:val="39431FB5"/>
    <w:rsid w:val="394E1A4D"/>
    <w:rsid w:val="395D7B12"/>
    <w:rsid w:val="396E388C"/>
    <w:rsid w:val="398B6BF8"/>
    <w:rsid w:val="39D407FB"/>
    <w:rsid w:val="39E061C4"/>
    <w:rsid w:val="3A4B4700"/>
    <w:rsid w:val="3A775BB8"/>
    <w:rsid w:val="3AC20DED"/>
    <w:rsid w:val="3AD1119D"/>
    <w:rsid w:val="3AF04F3A"/>
    <w:rsid w:val="3AF962CD"/>
    <w:rsid w:val="3AFA7487"/>
    <w:rsid w:val="3B072224"/>
    <w:rsid w:val="3B4A1EE5"/>
    <w:rsid w:val="3B667025"/>
    <w:rsid w:val="3B954C1E"/>
    <w:rsid w:val="3B990744"/>
    <w:rsid w:val="3B9D7FB8"/>
    <w:rsid w:val="3C776E08"/>
    <w:rsid w:val="3D470F3A"/>
    <w:rsid w:val="3D5A33CC"/>
    <w:rsid w:val="3D62570E"/>
    <w:rsid w:val="3DB16E01"/>
    <w:rsid w:val="3DDF50EC"/>
    <w:rsid w:val="3DE37522"/>
    <w:rsid w:val="3E106008"/>
    <w:rsid w:val="3E444804"/>
    <w:rsid w:val="3E623312"/>
    <w:rsid w:val="3E907212"/>
    <w:rsid w:val="3EB014F1"/>
    <w:rsid w:val="3EC0282A"/>
    <w:rsid w:val="3FCD7387"/>
    <w:rsid w:val="3FE8782C"/>
    <w:rsid w:val="40F03BB3"/>
    <w:rsid w:val="40F811B0"/>
    <w:rsid w:val="414A004D"/>
    <w:rsid w:val="41B01923"/>
    <w:rsid w:val="41F16AFC"/>
    <w:rsid w:val="42055244"/>
    <w:rsid w:val="420A7EBF"/>
    <w:rsid w:val="42962B71"/>
    <w:rsid w:val="42AE60B2"/>
    <w:rsid w:val="42C65DB9"/>
    <w:rsid w:val="42CB3B33"/>
    <w:rsid w:val="4331430B"/>
    <w:rsid w:val="434B1318"/>
    <w:rsid w:val="435E72D5"/>
    <w:rsid w:val="437E3642"/>
    <w:rsid w:val="438415F8"/>
    <w:rsid w:val="43885EFC"/>
    <w:rsid w:val="43A2314C"/>
    <w:rsid w:val="43B832ED"/>
    <w:rsid w:val="43E4284F"/>
    <w:rsid w:val="43FF5B10"/>
    <w:rsid w:val="4409139E"/>
    <w:rsid w:val="441B2F94"/>
    <w:rsid w:val="44235D2F"/>
    <w:rsid w:val="443F0DBF"/>
    <w:rsid w:val="44781372"/>
    <w:rsid w:val="44907E93"/>
    <w:rsid w:val="44AB71BA"/>
    <w:rsid w:val="44BC401A"/>
    <w:rsid w:val="44E26463"/>
    <w:rsid w:val="44E53468"/>
    <w:rsid w:val="44E91DF6"/>
    <w:rsid w:val="45203683"/>
    <w:rsid w:val="453244B9"/>
    <w:rsid w:val="45A4152D"/>
    <w:rsid w:val="45A867F1"/>
    <w:rsid w:val="45ED4C8D"/>
    <w:rsid w:val="466729D6"/>
    <w:rsid w:val="47C92209"/>
    <w:rsid w:val="47D42FF0"/>
    <w:rsid w:val="48E1676A"/>
    <w:rsid w:val="48E40429"/>
    <w:rsid w:val="49181F09"/>
    <w:rsid w:val="4922101D"/>
    <w:rsid w:val="49247934"/>
    <w:rsid w:val="49723E09"/>
    <w:rsid w:val="49977C36"/>
    <w:rsid w:val="49B2744B"/>
    <w:rsid w:val="49C155BF"/>
    <w:rsid w:val="4A81167B"/>
    <w:rsid w:val="4AAC7FF4"/>
    <w:rsid w:val="4ACC74A7"/>
    <w:rsid w:val="4B3C05BE"/>
    <w:rsid w:val="4BA86912"/>
    <w:rsid w:val="4BEA0B1C"/>
    <w:rsid w:val="4C2F3911"/>
    <w:rsid w:val="4C5A69CA"/>
    <w:rsid w:val="4C9A6C67"/>
    <w:rsid w:val="4CB51270"/>
    <w:rsid w:val="4CC672B1"/>
    <w:rsid w:val="4D09401F"/>
    <w:rsid w:val="4D15231F"/>
    <w:rsid w:val="4D3B1B78"/>
    <w:rsid w:val="4DA569A3"/>
    <w:rsid w:val="4DE00542"/>
    <w:rsid w:val="4E321376"/>
    <w:rsid w:val="4E776A0A"/>
    <w:rsid w:val="4EAA7777"/>
    <w:rsid w:val="4EBD7EDB"/>
    <w:rsid w:val="4ECC0D58"/>
    <w:rsid w:val="4EF76621"/>
    <w:rsid w:val="4F17581D"/>
    <w:rsid w:val="4F307492"/>
    <w:rsid w:val="4F495129"/>
    <w:rsid w:val="4FE20970"/>
    <w:rsid w:val="50066E8B"/>
    <w:rsid w:val="504A4293"/>
    <w:rsid w:val="50500969"/>
    <w:rsid w:val="505638FA"/>
    <w:rsid w:val="508F7B4A"/>
    <w:rsid w:val="509A082B"/>
    <w:rsid w:val="50E847AB"/>
    <w:rsid w:val="51CD169C"/>
    <w:rsid w:val="51CD4EE8"/>
    <w:rsid w:val="525E5D62"/>
    <w:rsid w:val="527B1241"/>
    <w:rsid w:val="529F347E"/>
    <w:rsid w:val="52CB24B4"/>
    <w:rsid w:val="52EF3F78"/>
    <w:rsid w:val="52EF5CBD"/>
    <w:rsid w:val="534C3F89"/>
    <w:rsid w:val="53F542FC"/>
    <w:rsid w:val="53FC1D2A"/>
    <w:rsid w:val="54162EF6"/>
    <w:rsid w:val="544F51F8"/>
    <w:rsid w:val="54683F4C"/>
    <w:rsid w:val="546911CC"/>
    <w:rsid w:val="54C61C8D"/>
    <w:rsid w:val="54DD506F"/>
    <w:rsid w:val="54FF40F9"/>
    <w:rsid w:val="55293A5A"/>
    <w:rsid w:val="554B2170"/>
    <w:rsid w:val="5550572B"/>
    <w:rsid w:val="55544AF4"/>
    <w:rsid w:val="5595621E"/>
    <w:rsid w:val="55E45084"/>
    <w:rsid w:val="563E1B84"/>
    <w:rsid w:val="567A10F0"/>
    <w:rsid w:val="567E52FA"/>
    <w:rsid w:val="57297A18"/>
    <w:rsid w:val="573B7525"/>
    <w:rsid w:val="57AB0622"/>
    <w:rsid w:val="57BC6DB9"/>
    <w:rsid w:val="581174CA"/>
    <w:rsid w:val="586645BB"/>
    <w:rsid w:val="588751F0"/>
    <w:rsid w:val="58E11859"/>
    <w:rsid w:val="58EC7861"/>
    <w:rsid w:val="591F00FC"/>
    <w:rsid w:val="59360D1D"/>
    <w:rsid w:val="593B754E"/>
    <w:rsid w:val="597F68B1"/>
    <w:rsid w:val="598658E0"/>
    <w:rsid w:val="59B359C0"/>
    <w:rsid w:val="5A0575C1"/>
    <w:rsid w:val="5A352E07"/>
    <w:rsid w:val="5A70538B"/>
    <w:rsid w:val="5A9666AC"/>
    <w:rsid w:val="5AD00A3C"/>
    <w:rsid w:val="5ADB39B5"/>
    <w:rsid w:val="5AFA4609"/>
    <w:rsid w:val="5B5D5515"/>
    <w:rsid w:val="5BB524B0"/>
    <w:rsid w:val="5BDF6159"/>
    <w:rsid w:val="5C0D5C7B"/>
    <w:rsid w:val="5C1F4663"/>
    <w:rsid w:val="5C2B20C8"/>
    <w:rsid w:val="5C2C10F5"/>
    <w:rsid w:val="5C6A75DC"/>
    <w:rsid w:val="5C9102EA"/>
    <w:rsid w:val="5C9D5C13"/>
    <w:rsid w:val="5CBE484A"/>
    <w:rsid w:val="5CCD6C15"/>
    <w:rsid w:val="5CDC559C"/>
    <w:rsid w:val="5CFB2A97"/>
    <w:rsid w:val="5D11570E"/>
    <w:rsid w:val="5D710E2B"/>
    <w:rsid w:val="5DA058C2"/>
    <w:rsid w:val="5DC9252F"/>
    <w:rsid w:val="5DE073F8"/>
    <w:rsid w:val="5E102C77"/>
    <w:rsid w:val="5E181AE8"/>
    <w:rsid w:val="5E200FB4"/>
    <w:rsid w:val="5E286A5D"/>
    <w:rsid w:val="5E336CEE"/>
    <w:rsid w:val="5E715CB3"/>
    <w:rsid w:val="5E7721E8"/>
    <w:rsid w:val="5F400E00"/>
    <w:rsid w:val="5F585DDC"/>
    <w:rsid w:val="5FCD49D0"/>
    <w:rsid w:val="5FEE67D5"/>
    <w:rsid w:val="600606E1"/>
    <w:rsid w:val="60A25007"/>
    <w:rsid w:val="60D644F8"/>
    <w:rsid w:val="60DC08A3"/>
    <w:rsid w:val="61063D04"/>
    <w:rsid w:val="612A3EB3"/>
    <w:rsid w:val="61372C6A"/>
    <w:rsid w:val="61507D62"/>
    <w:rsid w:val="6182198A"/>
    <w:rsid w:val="61B374F7"/>
    <w:rsid w:val="61CA6AF3"/>
    <w:rsid w:val="61CD3BE8"/>
    <w:rsid w:val="620165C0"/>
    <w:rsid w:val="62662701"/>
    <w:rsid w:val="627A3650"/>
    <w:rsid w:val="62A1560C"/>
    <w:rsid w:val="62E005A6"/>
    <w:rsid w:val="62E73E8C"/>
    <w:rsid w:val="62F656EA"/>
    <w:rsid w:val="630A3753"/>
    <w:rsid w:val="63232B02"/>
    <w:rsid w:val="636A1AC0"/>
    <w:rsid w:val="638E2EFC"/>
    <w:rsid w:val="63CD6E9B"/>
    <w:rsid w:val="63DE34EA"/>
    <w:rsid w:val="63FD3D96"/>
    <w:rsid w:val="640E26EA"/>
    <w:rsid w:val="6471083B"/>
    <w:rsid w:val="64D5681B"/>
    <w:rsid w:val="65146F33"/>
    <w:rsid w:val="656808BF"/>
    <w:rsid w:val="657B0DDB"/>
    <w:rsid w:val="658E12F0"/>
    <w:rsid w:val="65B77098"/>
    <w:rsid w:val="65C62867"/>
    <w:rsid w:val="65C7004B"/>
    <w:rsid w:val="661D12A7"/>
    <w:rsid w:val="661E3D1F"/>
    <w:rsid w:val="66624235"/>
    <w:rsid w:val="66857217"/>
    <w:rsid w:val="66B51EC7"/>
    <w:rsid w:val="67FD5BCA"/>
    <w:rsid w:val="68401F2D"/>
    <w:rsid w:val="68425B60"/>
    <w:rsid w:val="684A5B2A"/>
    <w:rsid w:val="687E16C8"/>
    <w:rsid w:val="689C104D"/>
    <w:rsid w:val="68B77D10"/>
    <w:rsid w:val="68C0397C"/>
    <w:rsid w:val="69022D41"/>
    <w:rsid w:val="69425B67"/>
    <w:rsid w:val="695176FB"/>
    <w:rsid w:val="69B61240"/>
    <w:rsid w:val="69FB41BB"/>
    <w:rsid w:val="6A340551"/>
    <w:rsid w:val="6A4709B8"/>
    <w:rsid w:val="6A806C9E"/>
    <w:rsid w:val="6AFC751A"/>
    <w:rsid w:val="6B0C3CD1"/>
    <w:rsid w:val="6B1462EA"/>
    <w:rsid w:val="6B1D2257"/>
    <w:rsid w:val="6B9F6057"/>
    <w:rsid w:val="6BAF510F"/>
    <w:rsid w:val="6BE78CA3"/>
    <w:rsid w:val="6BED4E02"/>
    <w:rsid w:val="6BFA28A1"/>
    <w:rsid w:val="6C0758A4"/>
    <w:rsid w:val="6C6D5B44"/>
    <w:rsid w:val="6C746E90"/>
    <w:rsid w:val="6C9F5465"/>
    <w:rsid w:val="6CA506FA"/>
    <w:rsid w:val="6D126704"/>
    <w:rsid w:val="6D3A5A3C"/>
    <w:rsid w:val="6D55598B"/>
    <w:rsid w:val="6D6D49D5"/>
    <w:rsid w:val="6E2A40BA"/>
    <w:rsid w:val="6E78248F"/>
    <w:rsid w:val="6E7C42BF"/>
    <w:rsid w:val="6E8E30BC"/>
    <w:rsid w:val="6E9470E2"/>
    <w:rsid w:val="6EB646C6"/>
    <w:rsid w:val="6ED1053F"/>
    <w:rsid w:val="6EFF5E89"/>
    <w:rsid w:val="6F2830B0"/>
    <w:rsid w:val="6F330BF1"/>
    <w:rsid w:val="6F44559A"/>
    <w:rsid w:val="6F507BFB"/>
    <w:rsid w:val="6F614322"/>
    <w:rsid w:val="6FA21EBF"/>
    <w:rsid w:val="6FBDCC2D"/>
    <w:rsid w:val="6FE770FD"/>
    <w:rsid w:val="7016782F"/>
    <w:rsid w:val="701A6502"/>
    <w:rsid w:val="704163FD"/>
    <w:rsid w:val="70644DB9"/>
    <w:rsid w:val="706B4CF8"/>
    <w:rsid w:val="70740216"/>
    <w:rsid w:val="708616B2"/>
    <w:rsid w:val="708C3518"/>
    <w:rsid w:val="70AC5C45"/>
    <w:rsid w:val="70C9768C"/>
    <w:rsid w:val="711A53E2"/>
    <w:rsid w:val="7122697F"/>
    <w:rsid w:val="712A376B"/>
    <w:rsid w:val="71446C65"/>
    <w:rsid w:val="71A84B94"/>
    <w:rsid w:val="71D46217"/>
    <w:rsid w:val="71EF717B"/>
    <w:rsid w:val="723C678F"/>
    <w:rsid w:val="723E21E1"/>
    <w:rsid w:val="72760386"/>
    <w:rsid w:val="72C725F2"/>
    <w:rsid w:val="72D7692B"/>
    <w:rsid w:val="72F60E55"/>
    <w:rsid w:val="733F6417"/>
    <w:rsid w:val="734C7544"/>
    <w:rsid w:val="737F124C"/>
    <w:rsid w:val="73D78A0C"/>
    <w:rsid w:val="747157DD"/>
    <w:rsid w:val="74746803"/>
    <w:rsid w:val="74855269"/>
    <w:rsid w:val="74FE13D7"/>
    <w:rsid w:val="755C2540"/>
    <w:rsid w:val="7590055C"/>
    <w:rsid w:val="75E675A1"/>
    <w:rsid w:val="761664A8"/>
    <w:rsid w:val="76DA4A35"/>
    <w:rsid w:val="775942E7"/>
    <w:rsid w:val="77786669"/>
    <w:rsid w:val="77D77E74"/>
    <w:rsid w:val="77EFDA2F"/>
    <w:rsid w:val="780E06BE"/>
    <w:rsid w:val="782A5A14"/>
    <w:rsid w:val="78423926"/>
    <w:rsid w:val="787F460C"/>
    <w:rsid w:val="78E43650"/>
    <w:rsid w:val="78F1359A"/>
    <w:rsid w:val="790C6195"/>
    <w:rsid w:val="79197BA3"/>
    <w:rsid w:val="79486D64"/>
    <w:rsid w:val="794963E9"/>
    <w:rsid w:val="796C2A54"/>
    <w:rsid w:val="797F9E17"/>
    <w:rsid w:val="79F94C6D"/>
    <w:rsid w:val="79FD4EE1"/>
    <w:rsid w:val="7A1E467C"/>
    <w:rsid w:val="7A840A52"/>
    <w:rsid w:val="7A8D4744"/>
    <w:rsid w:val="7A8D5499"/>
    <w:rsid w:val="7AA028C5"/>
    <w:rsid w:val="7AD95CEC"/>
    <w:rsid w:val="7B482360"/>
    <w:rsid w:val="7B5423EC"/>
    <w:rsid w:val="7B6E6D35"/>
    <w:rsid w:val="7B886F65"/>
    <w:rsid w:val="7B991389"/>
    <w:rsid w:val="7CA01B71"/>
    <w:rsid w:val="7CF52723"/>
    <w:rsid w:val="7CF93F8F"/>
    <w:rsid w:val="7CFE370D"/>
    <w:rsid w:val="7D0E4931"/>
    <w:rsid w:val="7D3455C0"/>
    <w:rsid w:val="7D5216BB"/>
    <w:rsid w:val="7DC123FB"/>
    <w:rsid w:val="7DCA4966"/>
    <w:rsid w:val="7DD6636F"/>
    <w:rsid w:val="7E21732F"/>
    <w:rsid w:val="7E2E406D"/>
    <w:rsid w:val="7E391E44"/>
    <w:rsid w:val="7E637FA1"/>
    <w:rsid w:val="7E9D3A96"/>
    <w:rsid w:val="7E9F516C"/>
    <w:rsid w:val="7EBC5951"/>
    <w:rsid w:val="7EC85AD8"/>
    <w:rsid w:val="7EDE5857"/>
    <w:rsid w:val="7F2A6FBC"/>
    <w:rsid w:val="7F3509C9"/>
    <w:rsid w:val="7F4E0757"/>
    <w:rsid w:val="7F6C1599"/>
    <w:rsid w:val="7F6E7B17"/>
    <w:rsid w:val="7F9F8FD7"/>
    <w:rsid w:val="BFFB94F9"/>
    <w:rsid w:val="CBEF7D62"/>
    <w:rsid w:val="DFFEEDAC"/>
    <w:rsid w:val="E67A7A9C"/>
    <w:rsid w:val="EBF53932"/>
    <w:rsid w:val="FD8F9265"/>
    <w:rsid w:val="FFF79E84"/>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0EB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20</Pages>
  <Words>9327</Words>
  <Characters>9972</Characters>
  <Lines>0</Lines>
  <Paragraphs>0</Paragraphs>
  <ScaleCrop>false</ScaleCrop>
  <LinksUpToDate>false</LinksUpToDate>
  <CharactersWithSpaces>9994</CharactersWithSpaces>
  <Application>WPS Office_10.8.0.6018_F1E327BC-269C-435d-A152-05C5408002CA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2024-06-05T01:34:00Z</dcterms:created>
  <dc:creator>李瑞婷(拟稿)</dc:creator>
  <cp:lastModifiedBy>Administrator</cp:lastModifiedBy>
  <cp:lastPrinted>2024-08-01T06:24:00Z</cp:lastPrinted>
  <dcterms:modified xsi:type="dcterms:W3CDTF">2026-09-11T01:22:30Z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y fmtid="{D5CDD505-2E9C-101B-9397-08002B2CF9AE}" pid="3" name="KSOTemplateDocerSaveRecord">
    <vt:lpwstr>eyJoZGlkIjoiZGU1NDE2OTJiMjk2M2MzMzE3OTQwNDVhNjAyMjBkODkiLCJ1c2VySWQiOiIxOTg1MjA0ODgifQ==</vt:lpwstr>
  </property>
  <property fmtid="{D5CDD505-2E9C-101B-9397-08002B2CF9AE}" pid="4" name="ICV">
    <vt:lpwstr>8412DD7C93B343DAA4E756544EC629C4_12</vt:lpwstr>
  </property>
</Properties>
</file>