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default" w:ascii="Times New Roman" w:hAnsi="Times New Roman" w:eastAsia="方正小标宋_GBK" w:cs="Times New Roman"/>
          <w:color w:val="auto"/>
          <w:sz w:val="44"/>
          <w:szCs w:val="44"/>
        </w:rPr>
      </w:pPr>
      <w:r>
        <w:rPr>
          <w:rFonts w:hint="eastAsia" w:eastAsia="方正小标宋_GBK" w:cs="Times New Roman"/>
          <w:color w:val="auto"/>
          <w:sz w:val="44"/>
          <w:szCs w:val="44"/>
          <w:lang w:eastAsia="zh-CN"/>
        </w:rPr>
        <w:t>玉溪市</w:t>
      </w:r>
      <w:r>
        <w:rPr>
          <w:rFonts w:hint="default" w:ascii="Times New Roman" w:hAnsi="Times New Roman" w:eastAsia="方正小标宋_GBK" w:cs="Times New Roman"/>
          <w:color w:val="auto"/>
          <w:sz w:val="44"/>
          <w:szCs w:val="44"/>
        </w:rPr>
        <w:t>市本级20</w:t>
      </w:r>
      <w:r>
        <w:rPr>
          <w:rFonts w:hint="default" w:ascii="Times New Roman" w:hAnsi="Times New Roman" w:eastAsia="方正小标宋_GBK" w:cs="Times New Roman"/>
          <w:color w:val="auto"/>
          <w:sz w:val="44"/>
          <w:szCs w:val="44"/>
          <w:lang w:val="en-US" w:eastAsia="zh-CN"/>
        </w:rPr>
        <w:t>2</w:t>
      </w:r>
      <w:r>
        <w:rPr>
          <w:rFonts w:hint="eastAsia" w:eastAsia="方正小标宋_GBK" w:cs="Times New Roman"/>
          <w:color w:val="auto"/>
          <w:sz w:val="44"/>
          <w:szCs w:val="44"/>
          <w:lang w:val="en-US" w:eastAsia="zh-CN"/>
        </w:rPr>
        <w:t>5</w:t>
      </w:r>
      <w:r>
        <w:rPr>
          <w:rFonts w:hint="default" w:ascii="Times New Roman" w:hAnsi="Times New Roman" w:eastAsia="方正小标宋_GBK" w:cs="Times New Roman"/>
          <w:color w:val="auto"/>
          <w:sz w:val="44"/>
          <w:szCs w:val="44"/>
        </w:rPr>
        <w:t>年度</w:t>
      </w:r>
      <w:r>
        <w:rPr>
          <w:rFonts w:hint="eastAsia" w:ascii="方正小标宋_GBK" w:hAnsi="方正小标宋_GBK" w:eastAsia="方正小标宋_GBK" w:cs="方正小标宋_GBK"/>
          <w:color w:val="auto"/>
          <w:sz w:val="44"/>
          <w:szCs w:val="44"/>
          <w:lang w:eastAsia="zh-CN"/>
        </w:rPr>
        <w:t>“</w:t>
      </w:r>
      <w:r>
        <w:rPr>
          <w:rFonts w:hint="eastAsia" w:ascii="方正小标宋_GBK" w:hAnsi="方正小标宋_GBK" w:eastAsia="方正小标宋_GBK" w:cs="方正小标宋_GBK"/>
          <w:color w:val="auto"/>
          <w:sz w:val="44"/>
          <w:szCs w:val="44"/>
        </w:rPr>
        <w:t>三公</w:t>
      </w:r>
      <w:r>
        <w:rPr>
          <w:rFonts w:hint="eastAsia" w:ascii="方正小标宋_GBK" w:hAnsi="方正小标宋_GBK" w:eastAsia="方正小标宋_GBK" w:cs="方正小标宋_GBK"/>
          <w:color w:val="auto"/>
          <w:sz w:val="44"/>
          <w:szCs w:val="44"/>
          <w:lang w:eastAsia="zh-CN"/>
        </w:rPr>
        <w:t>”</w:t>
      </w:r>
      <w:r>
        <w:rPr>
          <w:rFonts w:hint="eastAsia" w:ascii="方正小标宋_GBK" w:hAnsi="方正小标宋_GBK" w:eastAsia="方正小标宋_GBK" w:cs="方正小标宋_GBK"/>
          <w:color w:val="auto"/>
          <w:sz w:val="44"/>
          <w:szCs w:val="44"/>
        </w:rPr>
        <w:t>经</w:t>
      </w:r>
      <w:r>
        <w:rPr>
          <w:rFonts w:hint="default" w:ascii="Times New Roman" w:hAnsi="Times New Roman" w:eastAsia="方正小标宋_GBK" w:cs="Times New Roman"/>
          <w:color w:val="auto"/>
          <w:sz w:val="44"/>
          <w:szCs w:val="44"/>
        </w:rPr>
        <w:t>费</w:t>
      </w:r>
    </w:p>
    <w:p>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eastAsia" w:ascii="Times New Roman" w:hAnsi="Times New Roman" w:eastAsia="方正小标宋_GBK" w:cs="Times New Roman"/>
          <w:color w:val="auto"/>
          <w:sz w:val="44"/>
          <w:szCs w:val="44"/>
          <w:lang w:eastAsia="zh-CN"/>
        </w:rPr>
      </w:pPr>
      <w:r>
        <w:rPr>
          <w:rFonts w:hint="default" w:ascii="Times New Roman" w:hAnsi="Times New Roman" w:eastAsia="方正小标宋_GBK" w:cs="Times New Roman"/>
          <w:color w:val="auto"/>
          <w:sz w:val="44"/>
          <w:szCs w:val="44"/>
        </w:rPr>
        <w:t>决算</w:t>
      </w:r>
      <w:r>
        <w:rPr>
          <w:rFonts w:hint="eastAsia" w:eastAsia="方正小标宋_GBK" w:cs="Times New Roman"/>
          <w:color w:val="auto"/>
          <w:sz w:val="44"/>
          <w:szCs w:val="44"/>
          <w:lang w:eastAsia="zh-CN"/>
        </w:rPr>
        <w:t>情况说明</w:t>
      </w:r>
    </w:p>
    <w:p>
      <w:pPr>
        <w:keepNext w:val="0"/>
        <w:keepLines w:val="0"/>
        <w:pageBreakBefore w:val="0"/>
        <w:widowControl w:val="0"/>
        <w:kinsoku/>
        <w:wordWrap/>
        <w:overflowPunct/>
        <w:topLinePunct w:val="0"/>
        <w:autoSpaceDE/>
        <w:autoSpaceDN/>
        <w:bidi w:val="0"/>
        <w:adjustRightInd/>
        <w:snapToGrid w:val="0"/>
        <w:spacing w:line="590" w:lineRule="exact"/>
        <w:ind w:left="0" w:leftChars="0" w:right="0" w:rightChars="0"/>
        <w:jc w:val="both"/>
        <w:textAlignment w:val="auto"/>
        <w:outlineLvl w:val="9"/>
        <w:rPr>
          <w:rFonts w:hint="default" w:ascii="Times New Roman" w:hAnsi="Times New Roman" w:cs="Times New Roman"/>
          <w:color w:val="auto"/>
          <w:szCs w:val="32"/>
        </w:rPr>
      </w:pPr>
    </w:p>
    <w:p>
      <w:pPr>
        <w:keepNext w:val="0"/>
        <w:keepLines w:val="0"/>
        <w:pageBreakBefore w:val="0"/>
        <w:widowControl w:val="0"/>
        <w:kinsoku/>
        <w:wordWrap/>
        <w:overflowPunct/>
        <w:topLinePunct w:val="0"/>
        <w:autoSpaceDE/>
        <w:autoSpaceDN/>
        <w:bidi w:val="0"/>
        <w:adjustRightInd/>
        <w:snapToGrid w:val="0"/>
        <w:spacing w:line="59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Cs w:val="32"/>
          <w:highlight w:val="none"/>
          <w:lang w:val="en-US" w:eastAsia="zh-CN"/>
        </w:rPr>
      </w:pPr>
      <w:r>
        <w:rPr>
          <w:rFonts w:hint="default" w:ascii="Times New Roman" w:hAnsi="Times New Roman" w:eastAsia="方正仿宋_GBK" w:cs="Times New Roman"/>
          <w:color w:val="auto"/>
          <w:sz w:val="32"/>
          <w:szCs w:val="32"/>
        </w:rPr>
        <w:t>根据</w:t>
      </w:r>
      <w:r>
        <w:rPr>
          <w:rFonts w:hint="eastAsia" w:ascii="Times New Roman" w:hAnsi="Times New Roman" w:eastAsia="方正仿宋_GBK" w:cs="Times New Roman"/>
          <w:color w:val="auto"/>
          <w:sz w:val="32"/>
          <w:szCs w:val="32"/>
          <w:lang w:eastAsia="zh-CN"/>
        </w:rPr>
        <w:t>《中华人民共和国预算法》及其实施条例、</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eastAsia="zh-CN"/>
        </w:rPr>
        <w:t>云南省财政厅关于印发</w:t>
      </w:r>
      <w:r>
        <w:rPr>
          <w:rFonts w:hint="eastAsia" w:ascii="Times New Roman" w:hAnsi="Times New Roman" w:eastAsia="方正仿宋_GBK" w:cs="Times New Roman"/>
          <w:color w:val="auto"/>
          <w:sz w:val="32"/>
          <w:szCs w:val="32"/>
          <w:lang w:val="en-US" w:eastAsia="zh-CN"/>
        </w:rPr>
        <w:t>&lt;</w:t>
      </w:r>
      <w:r>
        <w:rPr>
          <w:rFonts w:hint="default" w:ascii="Times New Roman" w:hAnsi="Times New Roman" w:eastAsia="方正仿宋_GBK" w:cs="Times New Roman"/>
          <w:color w:val="auto"/>
          <w:sz w:val="32"/>
          <w:szCs w:val="32"/>
        </w:rPr>
        <w:t>云南省预算公开工作实施细则</w:t>
      </w:r>
      <w:r>
        <w:rPr>
          <w:rFonts w:hint="eastAsia" w:ascii="Times New Roman" w:hAnsi="Times New Roman" w:eastAsia="方正仿宋_GBK" w:cs="Times New Roman"/>
          <w:color w:val="auto"/>
          <w:sz w:val="32"/>
          <w:szCs w:val="32"/>
          <w:lang w:val="en-US" w:eastAsia="zh-CN"/>
        </w:rPr>
        <w:t>&gt;的通知</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云财预〔2016〕183号</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eastAsia="zh-CN"/>
        </w:rPr>
        <w:t>等</w:t>
      </w:r>
      <w:r>
        <w:rPr>
          <w:rFonts w:hint="default" w:ascii="Times New Roman" w:hAnsi="Times New Roman" w:eastAsia="方正仿宋_GBK" w:cs="Times New Roman"/>
          <w:color w:val="auto"/>
          <w:sz w:val="32"/>
          <w:szCs w:val="32"/>
        </w:rPr>
        <w:t>要求，</w:t>
      </w:r>
      <w:r>
        <w:rPr>
          <w:rFonts w:hint="eastAsia" w:ascii="Times New Roman" w:hAnsi="Times New Roman" w:eastAsia="方正仿宋_GBK" w:cs="Times New Roman"/>
          <w:color w:val="auto"/>
          <w:szCs w:val="32"/>
          <w:lang w:val="en-US" w:eastAsia="zh-CN"/>
        </w:rPr>
        <w:t>玉溪市财政局对玉溪市市本级部门上报的202</w:t>
      </w:r>
      <w:r>
        <w:rPr>
          <w:rFonts w:hint="eastAsia" w:eastAsia="方正仿宋_GBK" w:cs="Times New Roman"/>
          <w:color w:val="auto"/>
          <w:szCs w:val="32"/>
          <w:lang w:val="en-US" w:eastAsia="zh-CN"/>
        </w:rPr>
        <w:t>5</w:t>
      </w:r>
      <w:r>
        <w:rPr>
          <w:rFonts w:hint="eastAsia" w:ascii="Times New Roman" w:hAnsi="Times New Roman" w:eastAsia="方正仿宋_GBK" w:cs="Times New Roman"/>
          <w:color w:val="auto"/>
          <w:szCs w:val="32"/>
          <w:lang w:val="en-US" w:eastAsia="zh-CN"/>
        </w:rPr>
        <w:t>年度一般公共预算财政拨款“三公”经费决算进行汇总</w:t>
      </w:r>
      <w:r>
        <w:rPr>
          <w:rFonts w:hint="default" w:ascii="Times New Roman" w:hAnsi="Times New Roman" w:eastAsia="方正仿宋_GBK" w:cs="Times New Roman"/>
          <w:color w:val="auto"/>
          <w:spacing w:val="-6"/>
          <w:szCs w:val="32"/>
          <w:lang w:val="en-US" w:eastAsia="zh-CN"/>
        </w:rPr>
        <w:t>，</w:t>
      </w:r>
      <w:r>
        <w:rPr>
          <w:rFonts w:hint="default" w:ascii="Times New Roman" w:hAnsi="Times New Roman" w:eastAsia="方正仿宋_GBK" w:cs="Times New Roman"/>
          <w:color w:val="auto"/>
          <w:spacing w:val="-6"/>
          <w:szCs w:val="32"/>
          <w:highlight w:val="none"/>
          <w:lang w:val="en-US" w:eastAsia="zh-CN"/>
        </w:rPr>
        <w:t>现将</w:t>
      </w:r>
      <w:r>
        <w:rPr>
          <w:rFonts w:hint="eastAsia" w:ascii="Times New Roman" w:hAnsi="Times New Roman" w:eastAsia="方正仿宋_GBK" w:cs="Times New Roman"/>
          <w:color w:val="auto"/>
          <w:spacing w:val="-6"/>
          <w:szCs w:val="32"/>
          <w:highlight w:val="none"/>
          <w:lang w:val="en-US" w:eastAsia="zh-CN"/>
        </w:rPr>
        <w:t>玉溪市</w:t>
      </w:r>
      <w:r>
        <w:rPr>
          <w:rFonts w:hint="default" w:ascii="Times New Roman" w:hAnsi="Times New Roman" w:eastAsia="方正仿宋_GBK" w:cs="Times New Roman"/>
          <w:color w:val="auto"/>
          <w:spacing w:val="-6"/>
          <w:sz w:val="32"/>
          <w:szCs w:val="32"/>
          <w:highlight w:val="none"/>
        </w:rPr>
        <w:t>市</w:t>
      </w:r>
      <w:r>
        <w:rPr>
          <w:rFonts w:hint="eastAsia" w:ascii="方正仿宋_GBK" w:hAnsi="方正仿宋_GBK" w:eastAsia="方正仿宋_GBK" w:cs="方正仿宋_GBK"/>
          <w:color w:val="auto"/>
          <w:spacing w:val="-6"/>
          <w:sz w:val="32"/>
          <w:szCs w:val="32"/>
          <w:highlight w:val="none"/>
        </w:rPr>
        <w:t>本级</w:t>
      </w:r>
      <w:r>
        <w:rPr>
          <w:rFonts w:hint="default" w:ascii="Times New Roman" w:hAnsi="Times New Roman" w:eastAsia="方正仿宋_GBK" w:cs="Times New Roman"/>
          <w:color w:val="auto"/>
          <w:spacing w:val="-6"/>
          <w:sz w:val="32"/>
          <w:szCs w:val="32"/>
          <w:highlight w:val="none"/>
        </w:rPr>
        <w:t>20</w:t>
      </w:r>
      <w:r>
        <w:rPr>
          <w:rFonts w:hint="eastAsia" w:ascii="Times New Roman" w:hAnsi="Times New Roman" w:eastAsia="方正仿宋_GBK" w:cs="Times New Roman"/>
          <w:color w:val="auto"/>
          <w:spacing w:val="-6"/>
          <w:sz w:val="32"/>
          <w:szCs w:val="32"/>
          <w:highlight w:val="none"/>
          <w:lang w:val="en-US" w:eastAsia="zh-CN"/>
        </w:rPr>
        <w:t>2</w:t>
      </w:r>
      <w:r>
        <w:rPr>
          <w:rFonts w:hint="eastAsia" w:eastAsia="方正仿宋_GBK" w:cs="Times New Roman"/>
          <w:color w:val="auto"/>
          <w:spacing w:val="-6"/>
          <w:sz w:val="32"/>
          <w:szCs w:val="32"/>
          <w:highlight w:val="none"/>
          <w:lang w:val="en-US" w:eastAsia="zh-CN"/>
        </w:rPr>
        <w:t>5</w:t>
      </w:r>
      <w:r>
        <w:rPr>
          <w:rFonts w:hint="eastAsia" w:ascii="Times New Roman" w:hAnsi="Times New Roman" w:eastAsia="方正仿宋_GBK" w:cs="Times New Roman"/>
          <w:color w:val="auto"/>
          <w:spacing w:val="-6"/>
          <w:sz w:val="32"/>
          <w:szCs w:val="32"/>
          <w:highlight w:val="none"/>
          <w:lang w:eastAsia="zh-CN"/>
        </w:rPr>
        <w:t>年度</w:t>
      </w:r>
      <w:r>
        <w:rPr>
          <w:rFonts w:hint="eastAsia" w:ascii="方正仿宋_GBK" w:hAnsi="方正仿宋_GBK" w:eastAsia="方正仿宋_GBK" w:cs="方正仿宋_GBK"/>
          <w:color w:val="auto"/>
          <w:spacing w:val="-6"/>
          <w:sz w:val="32"/>
          <w:szCs w:val="32"/>
          <w:highlight w:val="none"/>
        </w:rPr>
        <w:t>“三公”经费</w:t>
      </w:r>
      <w:r>
        <w:rPr>
          <w:rFonts w:hint="default" w:ascii="Times New Roman" w:hAnsi="Times New Roman" w:eastAsia="方正仿宋_GBK" w:cs="Times New Roman"/>
          <w:color w:val="auto"/>
          <w:spacing w:val="-6"/>
          <w:szCs w:val="32"/>
          <w:highlight w:val="none"/>
          <w:lang w:val="en-US" w:eastAsia="zh-CN"/>
        </w:rPr>
        <w:t>决算情况公开如下</w:t>
      </w:r>
      <w:r>
        <w:rPr>
          <w:rFonts w:hint="eastAsia" w:ascii="Times New Roman" w:hAnsi="Times New Roman" w:eastAsia="方正仿宋_GBK" w:cs="Times New Roman"/>
          <w:color w:val="auto"/>
          <w:spacing w:val="-6"/>
          <w:szCs w:val="32"/>
          <w:highlight w:val="none"/>
          <w:lang w:val="en-US" w:eastAsia="zh-CN"/>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hint="eastAsia" w:ascii="方正黑体_GBK" w:hAnsi="方正黑体_GBK" w:eastAsia="方正黑体_GBK" w:cs="方正黑体_GBK"/>
          <w:kern w:val="44"/>
          <w:sz w:val="32"/>
          <w:szCs w:val="32"/>
        </w:rPr>
      </w:pPr>
      <w:r>
        <w:rPr>
          <w:rFonts w:hint="eastAsia" w:ascii="方正黑体_GBK" w:hAnsi="方正黑体_GBK" w:eastAsia="方正黑体_GBK" w:cs="方正黑体_GBK"/>
          <w:kern w:val="44"/>
          <w:sz w:val="32"/>
          <w:szCs w:val="32"/>
        </w:rPr>
        <w:t>一、一般公共预算财政拨款“三公”经费支出决算情况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44"/>
          <w:sz w:val="32"/>
          <w:szCs w:val="32"/>
          <w:lang w:val="en-US" w:eastAsia="zh-CN"/>
        </w:rPr>
      </w:pPr>
      <w:r>
        <w:rPr>
          <w:rFonts w:hint="eastAsia" w:ascii="Times New Roman" w:hAnsi="Times New Roman" w:eastAsia="方正仿宋_GBK" w:cs="Times New Roman"/>
          <w:kern w:val="44"/>
          <w:sz w:val="32"/>
          <w:szCs w:val="32"/>
        </w:rPr>
        <w:t>2025年，玉溪市市本级一般公共预算财政拨款“三公”经费支出决算汇总数为1890.88万元，完成年初预算数4546.88万元的41.59%，执行进度较低的主要原因是市本级各部门严格落实党政机关习惯过紧日子要求，强化预算执行监督，严控“三公”经费支出，大力压减公务接待费和公务用车运行维护费支出。2025年“三公”经费决算汇总数较上年决算汇总数1920.32万元减少29.44万元，下降1.53%。分项构成情况</w:t>
      </w:r>
      <w:r>
        <w:rPr>
          <w:rFonts w:hint="eastAsia" w:ascii="Times New Roman" w:hAnsi="Times New Roman" w:eastAsia="方正仿宋_GBK" w:cs="Times New Roman"/>
          <w:kern w:val="44"/>
          <w:sz w:val="32"/>
          <w:szCs w:val="32"/>
          <w:lang w:eastAsia="zh-CN"/>
        </w:rPr>
        <w:t>如下</w:t>
      </w:r>
      <w:r>
        <w:rPr>
          <w:rFonts w:hint="eastAsia" w:ascii="Times New Roman" w:hAnsi="Times New Roman" w:eastAsia="方正仿宋_GBK" w:cs="Times New Roman"/>
          <w:kern w:val="44"/>
          <w:sz w:val="32"/>
          <w:szCs w:val="32"/>
          <w:lang w:val="en-US" w:eastAsia="zh-CN"/>
        </w:rPr>
        <w:t>：</w:t>
      </w:r>
    </w:p>
    <w:p>
      <w:pPr>
        <w:keepNext w:val="0"/>
        <w:keepLines w:val="0"/>
        <w:pageBreakBefore w:val="0"/>
        <w:widowControl w:val="0"/>
        <w:kinsoku/>
        <w:wordWrap/>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Times New Roman"/>
          <w:kern w:val="44"/>
          <w:sz w:val="32"/>
          <w:szCs w:val="32"/>
        </w:rPr>
      </w:pPr>
      <w:r>
        <w:rPr>
          <w:rFonts w:hint="eastAsia" w:ascii="Times New Roman" w:hAnsi="Times New Roman" w:eastAsia="方正仿宋_GBK" w:cs="Times New Roman"/>
          <w:kern w:val="44"/>
          <w:sz w:val="32"/>
          <w:szCs w:val="32"/>
          <w:highlight w:val="none"/>
          <w:lang w:val="en-US" w:eastAsia="zh-CN"/>
        </w:rPr>
        <w:t>一是</w:t>
      </w:r>
      <w:r>
        <w:rPr>
          <w:rFonts w:hint="eastAsia" w:ascii="Times New Roman" w:hAnsi="Times New Roman" w:eastAsia="方正仿宋_GBK" w:cs="Times New Roman"/>
          <w:kern w:val="44"/>
          <w:sz w:val="32"/>
          <w:szCs w:val="32"/>
          <w:highlight w:val="none"/>
        </w:rPr>
        <w:t>因公出国（境）费52.16万元，完</w:t>
      </w:r>
      <w:r>
        <w:rPr>
          <w:rFonts w:hint="eastAsia" w:ascii="Times New Roman" w:hAnsi="Times New Roman" w:eastAsia="方正仿宋_GBK" w:cs="Times New Roman"/>
          <w:kern w:val="44"/>
          <w:sz w:val="32"/>
          <w:szCs w:val="32"/>
        </w:rPr>
        <w:t>成年初预算数360万元的14.49%，较上年决算汇总数24.83万元增加27.33万元，增长110.07%，全年因公出国（境）团组2个，因公出国（境）15人次。因公出国（境）费较上年决算汇总数增加的主要原因：2025年度因工作需要，因公出国（境）人次比上年度增加1人，支出相应增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44"/>
          <w:sz w:val="32"/>
          <w:szCs w:val="32"/>
          <w:highlight w:val="none"/>
          <w:lang w:val="en-US" w:eastAsia="zh-CN"/>
        </w:rPr>
      </w:pPr>
      <w:r>
        <w:rPr>
          <w:rFonts w:hint="eastAsia" w:ascii="Times New Roman" w:hAnsi="Times New Roman" w:eastAsia="方正仿宋_GBK" w:cs="Times New Roman"/>
          <w:kern w:val="44"/>
          <w:sz w:val="32"/>
          <w:szCs w:val="32"/>
          <w:lang w:val="en-US" w:eastAsia="zh-CN"/>
        </w:rPr>
        <w:t>二是</w:t>
      </w:r>
      <w:r>
        <w:rPr>
          <w:rFonts w:hint="eastAsia" w:ascii="Times New Roman" w:hAnsi="Times New Roman" w:eastAsia="方正仿宋_GBK" w:cs="Times New Roman"/>
          <w:kern w:val="44"/>
          <w:sz w:val="32"/>
          <w:szCs w:val="32"/>
        </w:rPr>
        <w:t>公务接待费148.71万元，完成年初预算数1690.78万元的8.80%，较上年决算汇总数266.03万元减少117.32万元，下降44.10%，全年公务接待1617批次（含外事接待6批次），接待14536人次（含外事接待141人次）。公务接待费较上年决算汇总数减少的主要原因：市本级严格落实中央八项规定精神，认真执行《党政机关厉行节约反对浪费条例》有关要求，规范公务接待，大力倡导廉政新风，取消无实质内容的出差和调研，严控出差人数和天数。</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方正仿宋_GBK" w:cs="Times New Roman"/>
          <w:kern w:val="44"/>
          <w:sz w:val="32"/>
          <w:szCs w:val="32"/>
        </w:rPr>
      </w:pPr>
      <w:r>
        <w:rPr>
          <w:rFonts w:hint="eastAsia" w:ascii="Times New Roman" w:hAnsi="Times New Roman" w:eastAsia="方正仿宋_GBK" w:cs="Times New Roman"/>
          <w:kern w:val="44"/>
          <w:sz w:val="32"/>
          <w:szCs w:val="32"/>
          <w:lang w:val="en-US" w:eastAsia="zh-CN"/>
        </w:rPr>
        <w:t>三是</w:t>
      </w:r>
      <w:r>
        <w:rPr>
          <w:rFonts w:hint="eastAsia" w:ascii="Times New Roman" w:hAnsi="Times New Roman" w:eastAsia="方正仿宋_GBK" w:cs="Times New Roman"/>
          <w:kern w:val="44"/>
          <w:sz w:val="32"/>
          <w:szCs w:val="32"/>
        </w:rPr>
        <w:t>公务用车购置及运行维护费1690.01万元，完成年初预算数2496.10万元的67.71%，较上年决算汇总数1629.46万元增加60.55万元，增长3.72%，其中：公务用车购置费532.73万元，完成年初预算数500万元的106.55%，较上年决算汇总数454.45万元增加78.28万元，增长17.23%，全年购置公务用车27辆；公务用车运行维护费1157.29万元，完成年初预算数1996.10万元的57.98%，较上年决算汇总数1175.01万元减少17.72万元，下降1.51%，年末公务用车保有量525辆。</w:t>
      </w:r>
      <w:r>
        <w:rPr>
          <w:rFonts w:hint="eastAsia" w:ascii="Times New Roman" w:hAnsi="Times New Roman" w:eastAsia="方正仿宋_GBK" w:cs="Times New Roman"/>
          <w:kern w:val="44"/>
          <w:sz w:val="32"/>
          <w:szCs w:val="32"/>
          <w:highlight w:val="none"/>
        </w:rPr>
        <w:t>公务用车购置费</w:t>
      </w:r>
      <w:r>
        <w:rPr>
          <w:rFonts w:hint="eastAsia" w:ascii="Times New Roman" w:hAnsi="Times New Roman" w:eastAsia="方正仿宋_GBK" w:cs="Times New Roman"/>
          <w:kern w:val="44"/>
          <w:sz w:val="32"/>
          <w:szCs w:val="32"/>
          <w:highlight w:val="none"/>
          <w:lang w:eastAsia="zh-CN"/>
        </w:rPr>
        <w:t>超年初预算数的主要原因：</w:t>
      </w:r>
      <w:r>
        <w:rPr>
          <w:rFonts w:hint="eastAsia" w:ascii="Times New Roman" w:hAnsi="Times New Roman" w:eastAsia="方正仿宋_GBK" w:cs="Times New Roman"/>
          <w:kern w:val="44"/>
          <w:sz w:val="32"/>
          <w:szCs w:val="32"/>
          <w:highlight w:val="none"/>
          <w:lang w:val="en-US" w:eastAsia="zh-CN"/>
        </w:rPr>
        <w:t>1家预算单位年中收到上级补助资金，专项用于3辆巡护皮卡车购置，金额59.01万元，此项经费未纳入市本级</w:t>
      </w:r>
      <w:r>
        <w:rPr>
          <w:rFonts w:hint="eastAsia" w:ascii="Times New Roman" w:hAnsi="Times New Roman" w:eastAsia="方正仿宋_GBK" w:cs="Times New Roman"/>
          <w:kern w:val="44"/>
          <w:sz w:val="32"/>
          <w:szCs w:val="32"/>
          <w:highlight w:val="none"/>
        </w:rPr>
        <w:t>公务用车购置费</w:t>
      </w:r>
      <w:r>
        <w:rPr>
          <w:rFonts w:hint="eastAsia" w:ascii="Times New Roman" w:hAnsi="Times New Roman" w:eastAsia="方正仿宋_GBK" w:cs="Times New Roman"/>
          <w:kern w:val="44"/>
          <w:sz w:val="32"/>
          <w:szCs w:val="32"/>
          <w:highlight w:val="none"/>
          <w:lang w:val="en-US" w:eastAsia="zh-CN"/>
        </w:rPr>
        <w:t>年初预算数中。</w:t>
      </w:r>
      <w:r>
        <w:rPr>
          <w:rFonts w:hint="eastAsia" w:ascii="Times New Roman" w:hAnsi="Times New Roman" w:eastAsia="方正仿宋_GBK" w:cs="Times New Roman"/>
          <w:kern w:val="44"/>
          <w:sz w:val="32"/>
          <w:szCs w:val="32"/>
        </w:rPr>
        <w:t>公务用车购置费较上年决算汇总数增加的主要原因：公务用车购置数较2024年度增加5辆，公务用车购置费相应增加。公务用车运行维护费较上年决算汇总数减少的主要原因：</w:t>
      </w:r>
      <w:r>
        <w:rPr>
          <w:rFonts w:hint="eastAsia" w:ascii="Times New Roman" w:hAnsi="Times New Roman" w:eastAsia="方正仿宋_GBK" w:cs="Times New Roman"/>
          <w:kern w:val="44"/>
          <w:sz w:val="32"/>
          <w:szCs w:val="32"/>
          <w:lang w:eastAsia="zh-CN"/>
        </w:rPr>
        <w:t>各部门</w:t>
      </w:r>
      <w:r>
        <w:rPr>
          <w:rFonts w:hint="eastAsia" w:ascii="Times New Roman" w:hAnsi="Times New Roman" w:eastAsia="方正仿宋_GBK" w:cs="Times New Roman"/>
          <w:kern w:val="44"/>
          <w:sz w:val="32"/>
          <w:szCs w:val="32"/>
        </w:rPr>
        <w:t>减少公务用车出行，加强车辆统筹调度。</w:t>
      </w:r>
    </w:p>
    <w:p>
      <w:pPr>
        <w:keepNext w:val="0"/>
        <w:keepLines w:val="0"/>
        <w:pageBreakBefore w:val="0"/>
        <w:widowControl w:val="0"/>
        <w:kinsoku/>
        <w:wordWrap/>
        <w:overflowPunct/>
        <w:topLinePunct w:val="0"/>
        <w:autoSpaceDE/>
        <w:autoSpaceDN/>
        <w:bidi w:val="0"/>
        <w:adjustRightInd/>
        <w:snapToGrid w:val="0"/>
        <w:spacing w:beforeAutospacing="0" w:line="460" w:lineRule="exact"/>
        <w:ind w:right="0" w:rightChars="0"/>
        <w:jc w:val="center"/>
        <w:textAlignment w:val="auto"/>
        <w:outlineLvl w:val="9"/>
        <w:rPr>
          <w:rFonts w:hint="eastAsia" w:ascii="方正楷体_GBK" w:hAnsi="方正楷体_GBK" w:eastAsia="方正楷体_GBK" w:cs="方正楷体_GBK"/>
          <w:kern w:val="44"/>
          <w:sz w:val="32"/>
          <w:szCs w:val="32"/>
          <w:highlight w:val="none"/>
          <w:lang w:eastAsia="zh-CN"/>
        </w:rPr>
      </w:pPr>
      <w:r>
        <w:rPr>
          <w:rFonts w:hint="eastAsia" w:ascii="方正楷体_GBK" w:hAnsi="方正楷体_GBK" w:eastAsia="方正楷体_GBK" w:cs="方正楷体_GBK"/>
          <w:kern w:val="44"/>
          <w:sz w:val="32"/>
          <w:szCs w:val="32"/>
          <w:highlight w:val="none"/>
          <w:lang w:eastAsia="zh-CN"/>
        </w:rPr>
        <w:t>玉溪市</w:t>
      </w:r>
      <w:r>
        <w:rPr>
          <w:rFonts w:hint="default" w:ascii="Times New Roman" w:hAnsi="Times New Roman" w:eastAsia="方正楷体_GBK" w:cs="Times New Roman"/>
          <w:kern w:val="44"/>
          <w:sz w:val="32"/>
          <w:szCs w:val="32"/>
          <w:highlight w:val="none"/>
          <w:lang w:eastAsia="zh-CN"/>
        </w:rPr>
        <w:t>市本级2025年度一般公</w:t>
      </w:r>
      <w:r>
        <w:rPr>
          <w:rFonts w:hint="eastAsia" w:ascii="方正楷体_GBK" w:hAnsi="方正楷体_GBK" w:eastAsia="方正楷体_GBK" w:cs="方正楷体_GBK"/>
          <w:kern w:val="44"/>
          <w:sz w:val="32"/>
          <w:szCs w:val="32"/>
          <w:highlight w:val="none"/>
          <w:lang w:eastAsia="zh-CN"/>
        </w:rPr>
        <w:t>共预算“三公”经费决算数</w:t>
      </w:r>
    </w:p>
    <w:p>
      <w:pPr>
        <w:keepNext w:val="0"/>
        <w:keepLines w:val="0"/>
        <w:pageBreakBefore w:val="0"/>
        <w:widowControl w:val="0"/>
        <w:kinsoku/>
        <w:wordWrap/>
        <w:overflowPunct/>
        <w:topLinePunct w:val="0"/>
        <w:autoSpaceDE/>
        <w:autoSpaceDN/>
        <w:bidi w:val="0"/>
        <w:adjustRightInd/>
        <w:snapToGrid w:val="0"/>
        <w:spacing w:beforeLines="0" w:line="460" w:lineRule="exact"/>
        <w:ind w:right="0" w:rightChars="0"/>
        <w:jc w:val="center"/>
        <w:textAlignment w:val="auto"/>
        <w:outlineLvl w:val="9"/>
        <w:rPr>
          <w:rFonts w:hint="eastAsia" w:ascii="方正楷体_GBK" w:hAnsi="方正楷体_GBK" w:eastAsia="方正楷体_GBK" w:cs="方正楷体_GBK"/>
          <w:kern w:val="44"/>
          <w:sz w:val="32"/>
          <w:szCs w:val="32"/>
          <w:highlight w:val="none"/>
          <w:lang w:eastAsia="zh-CN"/>
        </w:rPr>
      </w:pPr>
      <w:r>
        <w:rPr>
          <w:rFonts w:hint="eastAsia" w:ascii="方正楷体_GBK" w:hAnsi="方正楷体_GBK" w:eastAsia="方正楷体_GBK" w:cs="方正楷体_GBK"/>
          <w:kern w:val="44"/>
          <w:sz w:val="32"/>
          <w:szCs w:val="32"/>
          <w:highlight w:val="none"/>
          <w:lang w:eastAsia="zh-CN"/>
        </w:rPr>
        <w:t>与上年数对比情况表</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Times New Roman" w:hAnsi="Times New Roman" w:eastAsia="方正仿宋_GBK" w:cs="Times New Roman"/>
          <w:kern w:val="44"/>
          <w:sz w:val="24"/>
          <w:szCs w:val="24"/>
          <w:lang w:eastAsia="zh-CN"/>
        </w:rPr>
      </w:pPr>
      <w:r>
        <w:rPr>
          <w:rFonts w:hint="eastAsia" w:ascii="Times New Roman" w:hAnsi="Times New Roman" w:eastAsia="方正仿宋_GBK" w:cs="Times New Roman"/>
          <w:kern w:val="44"/>
          <w:sz w:val="24"/>
          <w:szCs w:val="24"/>
          <w:lang w:eastAsia="zh-CN"/>
        </w:rPr>
        <w:t>单位：万元</w:t>
      </w:r>
    </w:p>
    <w:tbl>
      <w:tblPr>
        <w:tblStyle w:val="5"/>
        <w:tblW w:w="8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6"/>
        <w:gridCol w:w="1266"/>
        <w:gridCol w:w="1027"/>
        <w:gridCol w:w="1146"/>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4186"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项</w:t>
            </w:r>
            <w:r>
              <w:rPr>
                <w:rFonts w:hint="eastAsia" w:ascii="Times New Roman" w:hAnsi="Times New Roman" w:eastAsia="方正仿宋_GBK" w:cs="Times New Roman"/>
                <w:kern w:val="44"/>
                <w:sz w:val="24"/>
                <w:szCs w:val="24"/>
                <w:vertAlign w:val="baseline"/>
                <w:lang w:val="en-US" w:eastAsia="zh-CN"/>
              </w:rPr>
              <w:t xml:space="preserve">  </w:t>
            </w:r>
            <w:r>
              <w:rPr>
                <w:rFonts w:hint="eastAsia" w:ascii="Times New Roman" w:hAnsi="Times New Roman" w:eastAsia="方正仿宋_GBK" w:cs="Times New Roman"/>
                <w:kern w:val="44"/>
                <w:sz w:val="24"/>
                <w:szCs w:val="24"/>
                <w:vertAlign w:val="baseline"/>
                <w:lang w:eastAsia="zh-CN"/>
              </w:rPr>
              <w:t>目</w:t>
            </w:r>
          </w:p>
        </w:tc>
        <w:tc>
          <w:tcPr>
            <w:tcW w:w="1266"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2024年</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决算数</w:t>
            </w:r>
          </w:p>
        </w:tc>
        <w:tc>
          <w:tcPr>
            <w:tcW w:w="1027"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202</w:t>
            </w:r>
            <w:r>
              <w:rPr>
                <w:rFonts w:hint="eastAsia" w:ascii="Times New Roman" w:hAnsi="Times New Roman" w:eastAsia="方正仿宋_GBK" w:cs="Times New Roman"/>
                <w:kern w:val="44"/>
                <w:sz w:val="24"/>
                <w:szCs w:val="24"/>
                <w:vertAlign w:val="baseline"/>
                <w:lang w:val="en-US" w:eastAsia="zh-CN"/>
              </w:rPr>
              <w:t>5</w:t>
            </w:r>
            <w:r>
              <w:rPr>
                <w:rFonts w:hint="eastAsia" w:ascii="Times New Roman" w:hAnsi="Times New Roman" w:eastAsia="方正仿宋_GBK" w:cs="Times New Roman"/>
                <w:kern w:val="44"/>
                <w:sz w:val="24"/>
                <w:szCs w:val="24"/>
                <w:vertAlign w:val="baseline"/>
                <w:lang w:eastAsia="zh-CN"/>
              </w:rPr>
              <w:t>年</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决算数</w:t>
            </w:r>
          </w:p>
        </w:tc>
        <w:tc>
          <w:tcPr>
            <w:tcW w:w="250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较上年增减情况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418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p>
        </w:tc>
        <w:tc>
          <w:tcPr>
            <w:tcW w:w="1266"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p>
        </w:tc>
        <w:tc>
          <w:tcPr>
            <w:tcW w:w="102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p>
        </w:tc>
        <w:tc>
          <w:tcPr>
            <w:tcW w:w="114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增、减额</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增、减幅度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418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合</w:t>
            </w:r>
            <w:r>
              <w:rPr>
                <w:rFonts w:hint="eastAsia" w:ascii="Times New Roman" w:hAnsi="Times New Roman" w:eastAsia="方正仿宋_GBK" w:cs="Times New Roman"/>
                <w:kern w:val="44"/>
                <w:sz w:val="24"/>
                <w:szCs w:val="24"/>
                <w:vertAlign w:val="baseline"/>
                <w:lang w:val="en-US" w:eastAsia="zh-CN"/>
              </w:rPr>
              <w:t xml:space="preserve">  </w:t>
            </w:r>
            <w:r>
              <w:rPr>
                <w:rFonts w:hint="eastAsia" w:ascii="Times New Roman" w:hAnsi="Times New Roman" w:eastAsia="方正仿宋_GBK" w:cs="Times New Roman"/>
                <w:kern w:val="44"/>
                <w:sz w:val="24"/>
                <w:szCs w:val="24"/>
                <w:vertAlign w:val="baseline"/>
                <w:lang w:eastAsia="zh-CN"/>
              </w:rPr>
              <w:t>计</w:t>
            </w:r>
          </w:p>
        </w:tc>
        <w:tc>
          <w:tcPr>
            <w:tcW w:w="126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1920.32</w:t>
            </w:r>
          </w:p>
        </w:tc>
        <w:tc>
          <w:tcPr>
            <w:tcW w:w="102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kern w:val="44"/>
                <w:sz w:val="24"/>
                <w:szCs w:val="24"/>
                <w:vertAlign w:val="baseline"/>
                <w:lang w:val="en-US" w:eastAsia="zh-CN"/>
              </w:rPr>
            </w:pPr>
            <w:r>
              <w:rPr>
                <w:rFonts w:hint="eastAsia" w:ascii="Times New Roman" w:hAnsi="Times New Roman" w:eastAsia="方正仿宋_GBK" w:cs="Times New Roman"/>
                <w:kern w:val="44"/>
                <w:sz w:val="24"/>
                <w:szCs w:val="24"/>
                <w:vertAlign w:val="baseline"/>
                <w:lang w:val="en-US" w:eastAsia="zh-CN"/>
              </w:rPr>
              <w:t>1890.88</w:t>
            </w:r>
          </w:p>
        </w:tc>
        <w:tc>
          <w:tcPr>
            <w:tcW w:w="114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w:t>
            </w:r>
            <w:r>
              <w:rPr>
                <w:rFonts w:hint="default" w:ascii="Times New Roman" w:hAnsi="Times New Roman" w:eastAsia="方正仿宋_GBK" w:cs="Times New Roman"/>
                <w:i w:val="0"/>
                <w:iCs w:val="0"/>
                <w:color w:val="000000"/>
                <w:kern w:val="0"/>
                <w:sz w:val="24"/>
                <w:szCs w:val="24"/>
                <w:highlight w:val="none"/>
                <w:u w:val="none"/>
                <w:lang w:val="en-US" w:eastAsia="zh-CN" w:bidi="ar"/>
              </w:rPr>
              <w:t>29.44</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w:t>
            </w:r>
            <w:r>
              <w:rPr>
                <w:rFonts w:hint="default" w:ascii="Times New Roman" w:hAnsi="Times New Roman" w:eastAsia="方正仿宋_GBK" w:cs="Times New Roman"/>
                <w:i w:val="0"/>
                <w:iCs w:val="0"/>
                <w:color w:val="000000"/>
                <w:kern w:val="0"/>
                <w:sz w:val="24"/>
                <w:szCs w:val="24"/>
                <w:highlight w:val="none"/>
                <w:u w:val="none"/>
                <w:lang w:val="en-US" w:eastAsia="zh-CN" w:bidi="ar"/>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418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1．因公出国（境）费</w:t>
            </w:r>
          </w:p>
        </w:tc>
        <w:tc>
          <w:tcPr>
            <w:tcW w:w="126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24.83</w:t>
            </w:r>
          </w:p>
        </w:tc>
        <w:tc>
          <w:tcPr>
            <w:tcW w:w="102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52.16</w:t>
            </w:r>
          </w:p>
        </w:tc>
        <w:tc>
          <w:tcPr>
            <w:tcW w:w="114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27.33</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110.07%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418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2．公务接待费</w:t>
            </w:r>
          </w:p>
        </w:tc>
        <w:tc>
          <w:tcPr>
            <w:tcW w:w="126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266.03</w:t>
            </w:r>
          </w:p>
        </w:tc>
        <w:tc>
          <w:tcPr>
            <w:tcW w:w="102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148.71</w:t>
            </w:r>
          </w:p>
        </w:tc>
        <w:tc>
          <w:tcPr>
            <w:tcW w:w="114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w:t>
            </w:r>
            <w:r>
              <w:rPr>
                <w:rFonts w:hint="default" w:ascii="Times New Roman" w:hAnsi="Times New Roman" w:eastAsia="方正仿宋_GBK" w:cs="Times New Roman"/>
                <w:color w:val="000000"/>
                <w:kern w:val="0"/>
                <w:sz w:val="24"/>
                <w:szCs w:val="24"/>
                <w:highlight w:val="none"/>
                <w:lang w:val="en-US" w:eastAsia="zh-CN"/>
              </w:rPr>
              <w:t>117.32</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w:t>
            </w:r>
            <w:r>
              <w:rPr>
                <w:rFonts w:hint="default" w:ascii="Times New Roman" w:hAnsi="Times New Roman" w:eastAsia="方正仿宋_GBK" w:cs="Times New Roman"/>
                <w:i w:val="0"/>
                <w:iCs w:val="0"/>
                <w:color w:val="000000"/>
                <w:kern w:val="0"/>
                <w:sz w:val="24"/>
                <w:szCs w:val="24"/>
                <w:highlight w:val="none"/>
                <w:u w:val="none"/>
                <w:lang w:val="en-US" w:eastAsia="zh-CN" w:bidi="ar"/>
              </w:rPr>
              <w:t>44.10%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418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3．公务用车购置及运行维护费</w:t>
            </w:r>
          </w:p>
        </w:tc>
        <w:tc>
          <w:tcPr>
            <w:tcW w:w="126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1629.46</w:t>
            </w:r>
          </w:p>
        </w:tc>
        <w:tc>
          <w:tcPr>
            <w:tcW w:w="102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1690.01</w:t>
            </w:r>
          </w:p>
        </w:tc>
        <w:tc>
          <w:tcPr>
            <w:tcW w:w="114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60.55</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3.72%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418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方正仿宋_GBK" w:cs="Times New Roman"/>
                <w:kern w:val="44"/>
                <w:sz w:val="24"/>
                <w:szCs w:val="24"/>
                <w:vertAlign w:val="baseline"/>
                <w:lang w:eastAsia="zh-CN"/>
              </w:rPr>
            </w:pPr>
            <w:r>
              <w:rPr>
                <w:rFonts w:hint="eastAsia" w:ascii="Times New Roman" w:hAnsi="Times New Roman" w:eastAsia="方正仿宋_GBK" w:cs="Times New Roman"/>
                <w:kern w:val="44"/>
                <w:sz w:val="24"/>
                <w:szCs w:val="24"/>
                <w:vertAlign w:val="baseline"/>
                <w:lang w:eastAsia="zh-CN"/>
              </w:rPr>
              <w:t>其中：（1）公务用车购置费</w:t>
            </w:r>
          </w:p>
        </w:tc>
        <w:tc>
          <w:tcPr>
            <w:tcW w:w="126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454.45</w:t>
            </w:r>
          </w:p>
        </w:tc>
        <w:tc>
          <w:tcPr>
            <w:tcW w:w="102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532.73</w:t>
            </w:r>
          </w:p>
        </w:tc>
        <w:tc>
          <w:tcPr>
            <w:tcW w:w="114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78.28</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i w:val="0"/>
                <w:iCs w:val="0"/>
                <w:color w:val="000000"/>
                <w:kern w:val="0"/>
                <w:sz w:val="24"/>
                <w:szCs w:val="24"/>
                <w:highlight w:val="none"/>
                <w:u w:val="none"/>
                <w:lang w:val="en-US" w:eastAsia="zh-CN" w:bidi="ar"/>
              </w:rPr>
              <w:t>17.23%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4186"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720" w:firstLineChars="300"/>
              <w:jc w:val="both"/>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rPr>
              <w:t>（2）公务用车运行维护费</w:t>
            </w:r>
          </w:p>
        </w:tc>
        <w:tc>
          <w:tcPr>
            <w:tcW w:w="126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1175.01</w:t>
            </w:r>
          </w:p>
        </w:tc>
        <w:tc>
          <w:tcPr>
            <w:tcW w:w="102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default" w:ascii="Times New Roman" w:hAnsi="Times New Roman" w:eastAsia="方正仿宋_GBK" w:cs="Times New Roman"/>
                <w:color w:val="000000"/>
                <w:kern w:val="0"/>
                <w:sz w:val="24"/>
                <w:szCs w:val="24"/>
                <w:highlight w:val="none"/>
                <w:lang w:val="en-US" w:eastAsia="zh-CN"/>
              </w:rPr>
              <w:t>1157.29</w:t>
            </w:r>
          </w:p>
        </w:tc>
        <w:tc>
          <w:tcPr>
            <w:tcW w:w="114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w:t>
            </w:r>
            <w:r>
              <w:rPr>
                <w:rFonts w:hint="default" w:ascii="Times New Roman" w:hAnsi="Times New Roman" w:eastAsia="方正仿宋_GBK" w:cs="Times New Roman"/>
                <w:i w:val="0"/>
                <w:iCs w:val="0"/>
                <w:color w:val="000000"/>
                <w:kern w:val="0"/>
                <w:sz w:val="24"/>
                <w:szCs w:val="24"/>
                <w:highlight w:val="none"/>
                <w:u w:val="none"/>
                <w:lang w:val="en-US" w:eastAsia="zh-CN" w:bidi="ar"/>
              </w:rPr>
              <w:t>17.72</w:t>
            </w:r>
          </w:p>
        </w:tc>
        <w:tc>
          <w:tcPr>
            <w:tcW w:w="135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kern w:val="44"/>
                <w:sz w:val="24"/>
                <w:szCs w:val="24"/>
                <w:vertAlign w:val="baseline"/>
                <w:lang w:eastAsia="zh-CN"/>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w:t>
            </w:r>
            <w:r>
              <w:rPr>
                <w:rFonts w:hint="default" w:ascii="Times New Roman" w:hAnsi="Times New Roman" w:eastAsia="方正仿宋_GBK" w:cs="Times New Roman"/>
                <w:i w:val="0"/>
                <w:iCs w:val="0"/>
                <w:color w:val="000000"/>
                <w:kern w:val="0"/>
                <w:sz w:val="24"/>
                <w:szCs w:val="24"/>
                <w:highlight w:val="none"/>
                <w:u w:val="none"/>
                <w:lang w:val="en-US" w:eastAsia="zh-CN" w:bidi="ar"/>
              </w:rPr>
              <w:t>1.51%</w:t>
            </w:r>
          </w:p>
        </w:tc>
      </w:tr>
    </w:tbl>
    <w:p>
      <w:pPr>
        <w:keepNext w:val="0"/>
        <w:keepLines w:val="0"/>
        <w:pageBreakBefore w:val="0"/>
        <w:widowControl w:val="0"/>
        <w:kinsoku/>
        <w:wordWrap/>
        <w:overflowPunct/>
        <w:topLinePunct w:val="0"/>
        <w:autoSpaceDE/>
        <w:autoSpaceDN/>
        <w:bidi w:val="0"/>
        <w:adjustRightInd/>
        <w:snapToGrid/>
        <w:spacing w:before="159" w:beforeLines="50" w:beforeAutospacing="0" w:line="560" w:lineRule="exact"/>
        <w:ind w:firstLine="640" w:firstLineChars="200"/>
        <w:textAlignment w:val="auto"/>
        <w:rPr>
          <w:rFonts w:hint="eastAsia" w:ascii="方正黑体_GBK" w:hAnsi="方正黑体_GBK" w:eastAsia="方正黑体_GBK" w:cs="方正黑体_GBK"/>
          <w:kern w:val="44"/>
          <w:sz w:val="32"/>
          <w:szCs w:val="32"/>
        </w:rPr>
      </w:pPr>
      <w:r>
        <w:rPr>
          <w:rFonts w:hint="eastAsia" w:ascii="方正黑体_GBK" w:hAnsi="方正黑体_GBK" w:eastAsia="方正黑体_GBK" w:cs="方正黑体_GBK"/>
          <w:kern w:val="44"/>
          <w:sz w:val="32"/>
          <w:szCs w:val="32"/>
        </w:rPr>
        <w:t>二、“三公”经费口径说明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44"/>
          <w:sz w:val="32"/>
          <w:szCs w:val="32"/>
        </w:rPr>
      </w:pPr>
      <w:r>
        <w:rPr>
          <w:rFonts w:hint="eastAsia" w:ascii="Times New Roman" w:hAnsi="Times New Roman" w:eastAsia="方正仿宋_GBK" w:cs="Times New Roman"/>
          <w:kern w:val="44"/>
          <w:sz w:val="32"/>
          <w:szCs w:val="32"/>
        </w:rPr>
        <w:t>（一）按照党中央、国务院有关文件及部门预算管理有关规定，“三公”经费包括因公出国（境）费、公务用车购置及运行维护费和公务接待费。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44"/>
          <w:sz w:val="32"/>
          <w:szCs w:val="32"/>
        </w:rPr>
      </w:pPr>
      <w:r>
        <w:rPr>
          <w:rFonts w:hint="eastAsia" w:ascii="Times New Roman" w:hAnsi="Times New Roman" w:eastAsia="方正仿宋_GBK" w:cs="Times New Roman"/>
          <w:kern w:val="44"/>
          <w:sz w:val="32"/>
          <w:szCs w:val="32"/>
        </w:rPr>
        <w:t xml:space="preserve">1．因公出国（境）费，指单位公务出国（境）的国际旅费、国外城市间交通费、住宿费、伙食费、培训费、公杂费等支出。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44"/>
          <w:sz w:val="32"/>
          <w:szCs w:val="32"/>
        </w:rPr>
      </w:pPr>
      <w:r>
        <w:rPr>
          <w:rFonts w:hint="eastAsia" w:ascii="Times New Roman" w:hAnsi="Times New Roman" w:eastAsia="方正仿宋_GBK" w:cs="Times New Roman"/>
          <w:kern w:val="44"/>
          <w:sz w:val="32"/>
          <w:szCs w:val="32"/>
        </w:rPr>
        <w:t xml:space="preserve">2．公务用车购置费，指公务用车购置支出（含车辆购置税、牌照费）；公务用车运行维护费，指单位按规定保留的公务用车燃料费、维修费、过路过桥费、保险费等支出。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44"/>
          <w:sz w:val="32"/>
          <w:szCs w:val="32"/>
        </w:rPr>
      </w:pPr>
      <w:r>
        <w:rPr>
          <w:rFonts w:hint="eastAsia" w:ascii="Times New Roman" w:hAnsi="Times New Roman" w:eastAsia="方正仿宋_GBK" w:cs="Times New Roman"/>
          <w:kern w:val="44"/>
          <w:sz w:val="32"/>
          <w:szCs w:val="32"/>
        </w:rPr>
        <w:t>3．公务接待费，指单位按规定开支的各类公务接待（含外宾接待）费用。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Times New Roman" w:hAnsi="Times New Roman" w:eastAsia="方正仿宋_GBK" w:cs="Times New Roman"/>
          <w:kern w:val="44"/>
          <w:sz w:val="32"/>
          <w:szCs w:val="32"/>
        </w:rPr>
        <w:t>（二）“三公”经费决算数，指各部门（含下属</w:t>
      </w:r>
      <w:bookmarkStart w:id="0" w:name="_GoBack"/>
      <w:bookmarkEnd w:id="0"/>
      <w:r>
        <w:rPr>
          <w:rFonts w:hint="eastAsia" w:ascii="Times New Roman" w:hAnsi="Times New Roman" w:eastAsia="方正仿宋_GBK" w:cs="Times New Roman"/>
          <w:kern w:val="44"/>
          <w:sz w:val="32"/>
          <w:szCs w:val="32"/>
        </w:rPr>
        <w:t>单位）用一般公共预算财政拨款（含上年结转结余和当年预算）安排的因公出国（境）费、公务用车购置及运行维护费和公务接待费支出数。</w:t>
      </w:r>
    </w:p>
    <w:sectPr>
      <w:footerReference r:id="rId3" w:type="default"/>
      <w:footerReference r:id="rId4" w:type="even"/>
      <w:pgSz w:w="11906" w:h="16838"/>
      <w:pgMar w:top="2041" w:right="1474" w:bottom="1304" w:left="1587" w:header="1361" w:footer="1191"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wiss"/>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4797425</wp:posOffset>
              </wp:positionH>
              <wp:positionV relativeFrom="paragraph">
                <wp:posOffset>0</wp:posOffset>
              </wp:positionV>
              <wp:extent cx="81915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191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77.75pt;margin-top:0pt;height:144pt;width:64.5pt;mso-position-horizontal-relative:margin;z-index:251659264;mso-width-relative:page;mso-height-relative:page;" filled="f" stroked="f" coordsize="21600,21600" o:gfxdata="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1q9oM1gAAAAgBAAAPAAAA&#10;AAAAAAEAIAAAACIAAABkcnMvZG93bnJldi54bWxQSwECFAAUAAAACACHTuJA8eRIGBcCAAAUBAAA&#10;DgAAAAAAAAABACAAAAAlAQAAZHJzL2Uyb0RvYy54bWxQSwUGAAAAAAYABgBZAQAArgUAAAAA&#10;">
              <v:fill on="f" focussize="0,0"/>
              <v:stroke on="f" weight="0.5pt"/>
              <v:imagedata o:title=""/>
              <o:lock v:ext="edit" aspectratio="f"/>
              <v:textbox inset="0mm,0mm,0mm,0mm" style="mso-fit-shape-to-text:t;">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5261CE"/>
    <w:rsid w:val="04837BF7"/>
    <w:rsid w:val="0C86379A"/>
    <w:rsid w:val="16BA558A"/>
    <w:rsid w:val="16F27C62"/>
    <w:rsid w:val="183F1D57"/>
    <w:rsid w:val="18975246"/>
    <w:rsid w:val="1953631E"/>
    <w:rsid w:val="1A184E60"/>
    <w:rsid w:val="1CE6774A"/>
    <w:rsid w:val="1DAC5C6B"/>
    <w:rsid w:val="1E6512A0"/>
    <w:rsid w:val="23396B98"/>
    <w:rsid w:val="23A40216"/>
    <w:rsid w:val="252E110E"/>
    <w:rsid w:val="296454F8"/>
    <w:rsid w:val="30F658E4"/>
    <w:rsid w:val="31505547"/>
    <w:rsid w:val="33FD299B"/>
    <w:rsid w:val="37B44180"/>
    <w:rsid w:val="3B93292F"/>
    <w:rsid w:val="3BC4519D"/>
    <w:rsid w:val="3C957A74"/>
    <w:rsid w:val="3D141416"/>
    <w:rsid w:val="3F5E6C02"/>
    <w:rsid w:val="3FF638FD"/>
    <w:rsid w:val="425A43EC"/>
    <w:rsid w:val="43835153"/>
    <w:rsid w:val="451E44F6"/>
    <w:rsid w:val="49427E14"/>
    <w:rsid w:val="4A2B42BD"/>
    <w:rsid w:val="4CE20FB3"/>
    <w:rsid w:val="51170698"/>
    <w:rsid w:val="53041B60"/>
    <w:rsid w:val="57152E76"/>
    <w:rsid w:val="57C526C8"/>
    <w:rsid w:val="684C60CC"/>
    <w:rsid w:val="6AAE48FD"/>
    <w:rsid w:val="6B6C6D2D"/>
    <w:rsid w:val="6DC30922"/>
    <w:rsid w:val="725261CE"/>
    <w:rsid w:val="727A4288"/>
    <w:rsid w:val="76313E81"/>
    <w:rsid w:val="7C4D6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44"/>
      <w:sz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1</Pages>
  <Words>0</Words>
  <Characters>0</Characters>
  <Lines>0</Lines>
  <Paragraphs>0</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2025-09-11T06:52:00Z</dcterms:created>
  <dc:creator>admin</dc:creator>
  <cp:lastModifiedBy>Administrator</cp:lastModifiedBy>
  <dcterms:modified xsi:type="dcterms:W3CDTF">2026-09-17T08:38:44Z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FBFEFE157E97448A910CFC7EA5B31D3E</vt:lpwstr>
  </property>
</Properties>
</file>