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73AB7">
      <w:pPr>
        <w:keepNext w:val="0"/>
        <w:keepLines w:val="0"/>
        <w:pageBreakBefore w:val="0"/>
        <w:widowControl w:val="0"/>
        <w:kinsoku/>
        <w:wordWrap/>
        <w:overflowPunct/>
        <w:topLinePunct w:val="0"/>
        <w:autoSpaceDE/>
        <w:autoSpaceDN/>
        <w:bidi w:val="0"/>
        <w:adjustRightInd/>
        <w:snapToGrid/>
        <w:spacing w:beforeAutospacing="0" w:afterAutospacing="0" w:line="198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bCs/>
          <w:color w:val="FF0000"/>
          <w:spacing w:val="-14"/>
          <w:w w:val="90"/>
          <w:sz w:val="122"/>
          <w:szCs w:val="122"/>
        </w:rPr>
      </w:pPr>
    </w:p>
    <w:p w14:paraId="2CC9E652">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both"/>
        <w:textAlignment w:val="auto"/>
        <w:outlineLvl w:val="9"/>
        <w:rPr>
          <w:rFonts w:hint="eastAsia" w:ascii="仿宋_GB2312" w:eastAsia="仿宋_GB2312"/>
          <w:color w:val="000000"/>
          <w:spacing w:val="-2"/>
          <w:w w:val="90"/>
          <w:sz w:val="32"/>
          <w:szCs w:val="32"/>
        </w:rPr>
      </w:pPr>
    </w:p>
    <w:p w14:paraId="109A40B6">
      <w:pPr>
        <w:keepNext w:val="0"/>
        <w:keepLines w:val="0"/>
        <w:pageBreakBefore w:val="0"/>
        <w:widowControl w:val="0"/>
        <w:tabs>
          <w:tab w:val="left" w:pos="8610"/>
        </w:tabs>
        <w:kinsoku/>
        <w:wordWrap/>
        <w:overflowPunct/>
        <w:topLinePunct w:val="0"/>
        <w:autoSpaceDE/>
        <w:autoSpaceDN/>
        <w:bidi w:val="0"/>
        <w:adjustRightInd/>
        <w:spacing w:before="0" w:beforeLines="0" w:after="0" w:afterLines="0" w:line="560" w:lineRule="exact"/>
        <w:ind w:left="0" w:leftChars="0" w:right="0" w:rightChars="0"/>
        <w:jc w:val="center"/>
        <w:textAlignment w:val="auto"/>
        <w:outlineLvl w:val="9"/>
        <w:rPr>
          <w:rFonts w:hint="eastAsia" w:ascii="楷体_GB2312" w:hAnsi="楷体_GB2312" w:eastAsia="楷体_GB2312" w:cs="楷体_GB2312"/>
          <w:sz w:val="32"/>
          <w:szCs w:val="32"/>
        </w:rPr>
      </w:pPr>
      <w:r>
        <w:rPr>
          <w:rFonts w:hint="default" w:ascii="Times New Roman" w:hAnsi="Times New Roman" w:eastAsia="方正仿宋_GBK" w:cs="Times New Roman"/>
          <w:sz w:val="32"/>
          <w:szCs w:val="32"/>
        </w:rPr>
        <w:t>玉财</w:t>
      </w:r>
      <w:r>
        <w:rPr>
          <w:rFonts w:hint="eastAsia" w:ascii="方正仿宋_GBK" w:hAnsi="方正仿宋_GBK" w:eastAsia="方正仿宋_GBK" w:cs="方正仿宋_GBK"/>
          <w:sz w:val="32"/>
          <w:szCs w:val="32"/>
          <w:lang w:val="en-US" w:eastAsia="zh-CN"/>
        </w:rPr>
        <w:t>农</w:t>
      </w:r>
      <w:r>
        <w:rPr>
          <w:rFonts w:hint="default" w:ascii="Times New Roman" w:hAnsi="Times New Roman" w:eastAsia="方正仿宋_GBK" w:cs="Times New Roman"/>
          <w:sz w:val="32"/>
          <w:szCs w:val="32"/>
        </w:rPr>
        <w:t>〔20</w:t>
      </w:r>
      <w:r>
        <w:rPr>
          <w:rFonts w:hint="eastAsia" w:ascii="Times New Roman" w:hAnsi="Times New Roman" w:eastAsia="方正仿宋_GBK" w:cs="Times New Roman"/>
          <w:sz w:val="32"/>
          <w:szCs w:val="32"/>
          <w:lang w:val="en-US" w:eastAsia="zh-CN"/>
        </w:rPr>
        <w:t>24</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208</w:t>
      </w:r>
      <w:r>
        <w:rPr>
          <w:rFonts w:hint="default" w:ascii="Times New Roman" w:hAnsi="Times New Roman" w:eastAsia="方正仿宋_GBK" w:cs="Times New Roman"/>
          <w:sz w:val="32"/>
          <w:szCs w:val="32"/>
        </w:rPr>
        <w:t>号</w:t>
      </w:r>
    </w:p>
    <w:p w14:paraId="09C049A6">
      <w:pPr>
        <w:keepNext w:val="0"/>
        <w:keepLines w:val="0"/>
        <w:pageBreakBefore w:val="0"/>
        <w:widowControl w:val="0"/>
        <w:kinsoku/>
        <w:wordWrap/>
        <w:overflowPunct/>
        <w:topLinePunct w:val="0"/>
        <w:autoSpaceDE/>
        <w:autoSpaceDN/>
        <w:bidi w:val="0"/>
        <w:adjustRightInd/>
        <w:spacing w:before="0" w:beforeLines="0" w:after="0" w:afterLines="0" w:line="590" w:lineRule="exact"/>
        <w:ind w:left="0" w:leftChars="0" w:right="0" w:rightChars="0"/>
        <w:textAlignment w:val="auto"/>
        <w:outlineLvl w:val="9"/>
        <w:rPr>
          <w:rFonts w:hint="default" w:ascii="Times New Roman" w:hAnsi="Times New Roman" w:eastAsia="仿宋_GB2312" w:cs="Times New Roman"/>
          <w:color w:val="000000"/>
          <w:spacing w:val="-2"/>
          <w:w w:val="90"/>
          <w:sz w:val="32"/>
          <w:szCs w:val="32"/>
        </w:rPr>
      </w:pPr>
    </w:p>
    <w:p w14:paraId="4BB3BCE0">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after="0" w:line="590" w:lineRule="exact"/>
        <w:jc w:val="center"/>
        <w:textAlignment w:val="auto"/>
        <w:rPr>
          <w:rFonts w:hint="default" w:ascii="Times New Roman" w:hAnsi="Times New Roman" w:eastAsia="方正小标宋_GBK" w:cs="Times New Roman"/>
          <w:spacing w:val="0"/>
          <w:sz w:val="40"/>
          <w:szCs w:val="40"/>
          <w:lang w:eastAsia="zh-CN"/>
        </w:rPr>
      </w:pPr>
      <w:r>
        <w:rPr>
          <w:rFonts w:hint="default" w:ascii="Times New Roman" w:hAnsi="Times New Roman" w:eastAsia="方正小标宋_GBK" w:cs="Times New Roman"/>
          <w:spacing w:val="0"/>
          <w:sz w:val="40"/>
          <w:szCs w:val="40"/>
          <w:lang w:eastAsia="zh-CN"/>
        </w:rPr>
        <w:t>玉溪市财政局关于提前下达2025年</w:t>
      </w:r>
      <w:r>
        <w:rPr>
          <w:rFonts w:hint="eastAsia" w:ascii="Times New Roman" w:hAnsi="Times New Roman" w:eastAsia="方正小标宋_GBK" w:cs="Times New Roman"/>
          <w:spacing w:val="0"/>
          <w:sz w:val="40"/>
          <w:szCs w:val="40"/>
          <w:lang w:eastAsia="zh-CN"/>
        </w:rPr>
        <w:t>省级</w:t>
      </w:r>
      <w:r>
        <w:rPr>
          <w:rFonts w:hint="default" w:ascii="Times New Roman" w:hAnsi="Times New Roman" w:eastAsia="方正小标宋_GBK" w:cs="Times New Roman"/>
          <w:spacing w:val="0"/>
          <w:sz w:val="40"/>
          <w:szCs w:val="40"/>
          <w:lang w:eastAsia="zh-CN"/>
        </w:rPr>
        <w:t>财政</w:t>
      </w:r>
    </w:p>
    <w:p w14:paraId="1AAEBADA">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after="0" w:line="590" w:lineRule="exact"/>
        <w:jc w:val="center"/>
        <w:textAlignment w:val="auto"/>
        <w:rPr>
          <w:rFonts w:hint="default" w:ascii="Times New Roman" w:hAnsi="Times New Roman" w:eastAsia="方正小标宋_GBK" w:cs="Times New Roman"/>
          <w:spacing w:val="0"/>
          <w:sz w:val="40"/>
          <w:szCs w:val="40"/>
          <w:lang w:eastAsia="zh-CN"/>
        </w:rPr>
      </w:pPr>
      <w:r>
        <w:rPr>
          <w:rFonts w:hint="default" w:ascii="Times New Roman" w:hAnsi="Times New Roman" w:eastAsia="方正小标宋_GBK" w:cs="Times New Roman"/>
          <w:spacing w:val="0"/>
          <w:sz w:val="40"/>
          <w:szCs w:val="40"/>
          <w:lang w:eastAsia="zh-CN"/>
        </w:rPr>
        <w:t>衔接推进乡村振兴补助资金的通知</w:t>
      </w:r>
    </w:p>
    <w:p w14:paraId="1BC405DD">
      <w:pPr>
        <w:keepNext w:val="0"/>
        <w:keepLines w:val="0"/>
        <w:pageBreakBefore w:val="0"/>
        <w:widowControl w:val="0"/>
        <w:pBdr>
          <w:top w:val="none" w:color="auto" w:sz="0" w:space="0"/>
          <w:bottom w:val="none" w:color="auto" w:sz="0" w:space="0"/>
        </w:pBdr>
        <w:kinsoku/>
        <w:wordWrap/>
        <w:overflowPunct/>
        <w:topLinePunct w:val="0"/>
        <w:autoSpaceDE/>
        <w:autoSpaceDN/>
        <w:bidi w:val="0"/>
        <w:snapToGrid w:val="0"/>
        <w:spacing w:after="0" w:line="590" w:lineRule="exact"/>
        <w:jc w:val="center"/>
        <w:textAlignment w:val="auto"/>
        <w:rPr>
          <w:rFonts w:hint="default" w:ascii="Times New Roman" w:hAnsi="Times New Roman" w:eastAsia="方正仿宋_GBK" w:cs="Times New Roman"/>
          <w:color w:val="auto"/>
          <w:spacing w:val="0"/>
          <w:sz w:val="32"/>
          <w:szCs w:val="32"/>
          <w:lang w:eastAsia="zh-CN"/>
        </w:rPr>
      </w:pPr>
    </w:p>
    <w:p w14:paraId="71C7BBF0">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after="0" w:line="590" w:lineRule="exact"/>
        <w:jc w:val="both"/>
        <w:textAlignment w:val="auto"/>
        <w:rPr>
          <w:rFonts w:hint="default" w:ascii="Times New Roman" w:hAnsi="Times New Roman" w:eastAsia="方正仿宋_GBK" w:cs="Times New Roman"/>
          <w:color w:val="auto"/>
          <w:spacing w:val="0"/>
          <w:sz w:val="32"/>
          <w:szCs w:val="32"/>
          <w:lang w:eastAsia="zh-CN"/>
        </w:rPr>
      </w:pPr>
      <w:r>
        <w:rPr>
          <w:rFonts w:hint="default" w:ascii="Times New Roman" w:hAnsi="Times New Roman" w:eastAsia="方正仿宋_GBK" w:cs="Times New Roman"/>
          <w:color w:val="auto"/>
          <w:spacing w:val="0"/>
          <w:sz w:val="32"/>
          <w:szCs w:val="32"/>
          <w:lang w:eastAsia="zh-CN"/>
        </w:rPr>
        <w:t>各县（市、区）财政局：</w:t>
      </w:r>
      <w:bookmarkStart w:id="0" w:name="正文开始"/>
      <w:bookmarkEnd w:id="0"/>
    </w:p>
    <w:p w14:paraId="047051F1">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r>
        <w:rPr>
          <w:rFonts w:hint="default" w:ascii="Times New Roman" w:hAnsi="Times New Roman" w:eastAsia="方正仿宋_GBK" w:cs="Times New Roman"/>
          <w:color w:val="auto"/>
          <w:spacing w:val="0"/>
          <w:sz w:val="32"/>
          <w:szCs w:val="32"/>
          <w:lang w:eastAsia="zh-CN"/>
        </w:rPr>
        <w:t>根据</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eastAsia="zh-CN"/>
        </w:rPr>
        <w:t>云南省财政厅关于提前下达2025年省级财政衔接推进乡村振兴补助资金的通知</w:t>
      </w:r>
      <w:r>
        <w:rPr>
          <w:rFonts w:hint="default" w:ascii="Times New Roman" w:hAnsi="Times New Roman" w:eastAsia="方正仿宋_GBK" w:cs="Times New Roman"/>
          <w:color w:val="auto"/>
          <w:spacing w:val="0"/>
          <w:sz w:val="32"/>
          <w:szCs w:val="32"/>
        </w:rPr>
        <w:t>》（</w:t>
      </w:r>
      <w:r>
        <w:rPr>
          <w:rFonts w:hint="default" w:ascii="Times New Roman" w:hAnsi="Times New Roman" w:eastAsia="方正仿宋_GBK" w:cs="Times New Roman"/>
          <w:color w:val="auto"/>
          <w:spacing w:val="0"/>
          <w:sz w:val="32"/>
          <w:szCs w:val="32"/>
          <w:lang w:eastAsia="zh-CN"/>
        </w:rPr>
        <w:t>云财农</w:t>
      </w:r>
      <w:r>
        <w:rPr>
          <w:rFonts w:hint="default" w:ascii="Times New Roman" w:hAnsi="Times New Roman" w:eastAsia="方正仿宋_GBK" w:cs="Times New Roman"/>
          <w:color w:val="auto"/>
          <w:spacing w:val="0"/>
          <w:sz w:val="32"/>
          <w:szCs w:val="32"/>
        </w:rPr>
        <w:t>〔20</w:t>
      </w:r>
      <w:r>
        <w:rPr>
          <w:rFonts w:hint="default" w:ascii="Times New Roman" w:hAnsi="Times New Roman" w:eastAsia="方正仿宋_GBK" w:cs="Times New Roman"/>
          <w:color w:val="auto"/>
          <w:spacing w:val="0"/>
          <w:sz w:val="32"/>
          <w:szCs w:val="32"/>
          <w:lang w:val="en-US" w:eastAsia="zh-CN"/>
        </w:rPr>
        <w:t>24</w:t>
      </w:r>
      <w:r>
        <w:rPr>
          <w:rFonts w:hint="default" w:ascii="Times New Roman" w:hAnsi="Times New Roman" w:eastAsia="方正仿宋_GBK" w:cs="Times New Roman"/>
          <w:color w:val="auto"/>
          <w:spacing w:val="0"/>
          <w:sz w:val="32"/>
          <w:szCs w:val="32"/>
        </w:rPr>
        <w:t>〕</w:t>
      </w:r>
      <w:r>
        <w:rPr>
          <w:rFonts w:hint="eastAsia" w:ascii="Times New Roman" w:hAnsi="Times New Roman" w:eastAsia="方正仿宋_GBK" w:cs="Times New Roman"/>
          <w:color w:val="auto"/>
          <w:spacing w:val="0"/>
          <w:sz w:val="32"/>
          <w:szCs w:val="32"/>
          <w:lang w:val="en-US" w:eastAsia="zh-CN"/>
        </w:rPr>
        <w:t>184</w:t>
      </w:r>
      <w:r>
        <w:rPr>
          <w:rFonts w:hint="default" w:ascii="Times New Roman" w:hAnsi="Times New Roman" w:eastAsia="方正仿宋_GBK" w:cs="Times New Roman"/>
          <w:color w:val="auto"/>
          <w:spacing w:val="0"/>
          <w:sz w:val="32"/>
          <w:szCs w:val="32"/>
        </w:rPr>
        <w:t>号）</w:t>
      </w:r>
      <w:r>
        <w:rPr>
          <w:rFonts w:hint="default" w:ascii="Times New Roman" w:hAnsi="Times New Roman" w:eastAsia="方正仿宋_GBK" w:cs="Times New Roman"/>
          <w:color w:val="auto"/>
          <w:spacing w:val="0"/>
          <w:sz w:val="32"/>
          <w:szCs w:val="32"/>
          <w:lang w:eastAsia="zh-CN"/>
        </w:rPr>
        <w:t>要求，经研究，现</w:t>
      </w:r>
      <w:r>
        <w:rPr>
          <w:rFonts w:hint="default" w:ascii="Times New Roman" w:hAnsi="Times New Roman" w:eastAsia="方正仿宋_GBK" w:cs="Times New Roman"/>
          <w:color w:val="auto"/>
          <w:spacing w:val="0"/>
          <w:sz w:val="32"/>
          <w:szCs w:val="32"/>
        </w:rPr>
        <w:t>提前下达</w:t>
      </w:r>
      <w:r>
        <w:rPr>
          <w:rFonts w:hint="default" w:ascii="Times New Roman" w:hAnsi="Times New Roman" w:eastAsia="方正仿宋_GBK" w:cs="Times New Roman"/>
          <w:color w:val="auto"/>
          <w:spacing w:val="0"/>
          <w:sz w:val="32"/>
          <w:szCs w:val="32"/>
          <w:lang w:eastAsia="zh-CN"/>
        </w:rPr>
        <w:t>你们202</w:t>
      </w:r>
      <w:r>
        <w:rPr>
          <w:rFonts w:hint="default" w:ascii="Times New Roman" w:hAnsi="Times New Roman" w:eastAsia="方正仿宋_GBK" w:cs="Times New Roman"/>
          <w:color w:val="auto"/>
          <w:spacing w:val="0"/>
          <w:sz w:val="32"/>
          <w:szCs w:val="32"/>
          <w:lang w:val="en-US" w:eastAsia="zh-CN"/>
        </w:rPr>
        <w:t>5</w:t>
      </w:r>
      <w:r>
        <w:rPr>
          <w:rFonts w:hint="default" w:ascii="Times New Roman" w:hAnsi="Times New Roman" w:eastAsia="方正仿宋_GBK" w:cs="Times New Roman"/>
          <w:color w:val="auto"/>
          <w:spacing w:val="0"/>
          <w:sz w:val="32"/>
          <w:szCs w:val="32"/>
          <w:lang w:eastAsia="zh-CN"/>
        </w:rPr>
        <w:t>年</w:t>
      </w:r>
      <w:r>
        <w:rPr>
          <w:rFonts w:hint="eastAsia" w:ascii="Times New Roman" w:hAnsi="Times New Roman" w:eastAsia="方正仿宋_GBK" w:cs="Times New Roman"/>
          <w:color w:val="auto"/>
          <w:spacing w:val="0"/>
          <w:sz w:val="32"/>
          <w:szCs w:val="32"/>
          <w:lang w:eastAsia="zh-CN"/>
        </w:rPr>
        <w:t>省级</w:t>
      </w:r>
      <w:bookmarkStart w:id="2" w:name="_GoBack"/>
      <w:bookmarkEnd w:id="2"/>
      <w:r>
        <w:rPr>
          <w:rFonts w:hint="default" w:ascii="Times New Roman" w:hAnsi="Times New Roman" w:eastAsia="方正仿宋_GBK" w:cs="Times New Roman"/>
          <w:color w:val="auto"/>
          <w:spacing w:val="0"/>
          <w:sz w:val="32"/>
          <w:szCs w:val="32"/>
          <w:lang w:eastAsia="zh-CN"/>
        </w:rPr>
        <w:t>财政衔接推进乡村振兴补助资金（详见附件</w:t>
      </w:r>
      <w:r>
        <w:rPr>
          <w:rFonts w:hint="eastAsia" w:ascii="Times New Roman" w:hAnsi="Times New Roman" w:eastAsia="方正仿宋_GBK" w:cs="Times New Roman"/>
          <w:color w:val="auto"/>
          <w:spacing w:val="0"/>
          <w:sz w:val="32"/>
          <w:szCs w:val="32"/>
          <w:lang w:val="en-US" w:eastAsia="zh-CN"/>
        </w:rPr>
        <w:t>1</w:t>
      </w:r>
      <w:r>
        <w:rPr>
          <w:rFonts w:hint="default" w:ascii="Times New Roman" w:hAnsi="Times New Roman" w:eastAsia="方正仿宋_GBK" w:cs="Times New Roman"/>
          <w:color w:val="auto"/>
          <w:spacing w:val="0"/>
          <w:sz w:val="32"/>
          <w:szCs w:val="32"/>
          <w:lang w:eastAsia="zh-CN"/>
        </w:rPr>
        <w:t>），</w:t>
      </w:r>
      <w:r>
        <w:rPr>
          <w:rFonts w:hint="default" w:ascii="Times New Roman" w:hAnsi="Times New Roman" w:eastAsia="方正仿宋_GBK" w:cs="Times New Roman"/>
          <w:color w:val="auto"/>
          <w:spacing w:val="6"/>
          <w:sz w:val="32"/>
          <w:szCs w:val="32"/>
          <w:lang w:eastAsia="zh-CN"/>
        </w:rPr>
        <w:t>支出列</w:t>
      </w:r>
      <w:r>
        <w:rPr>
          <w:rFonts w:hint="default" w:ascii="Times New Roman" w:hAnsi="Times New Roman" w:eastAsia="方正仿宋_GBK" w:cs="Times New Roman"/>
          <w:color w:val="auto"/>
          <w:spacing w:val="6"/>
          <w:sz w:val="32"/>
          <w:szCs w:val="32"/>
          <w:highlight w:val="none"/>
          <w:lang w:eastAsia="zh-CN"/>
        </w:rPr>
        <w:t>202</w:t>
      </w:r>
      <w:r>
        <w:rPr>
          <w:rFonts w:hint="default" w:ascii="Times New Roman" w:hAnsi="Times New Roman" w:eastAsia="方正仿宋_GBK" w:cs="Times New Roman"/>
          <w:color w:val="auto"/>
          <w:spacing w:val="6"/>
          <w:sz w:val="32"/>
          <w:szCs w:val="32"/>
          <w:highlight w:val="none"/>
          <w:lang w:val="en-US" w:eastAsia="zh-CN"/>
        </w:rPr>
        <w:t>5</w:t>
      </w:r>
      <w:r>
        <w:rPr>
          <w:rFonts w:hint="eastAsia" w:ascii="方正仿宋_GBK" w:hAnsi="方正仿宋_GBK" w:eastAsia="方正仿宋_GBK" w:cs="方正仿宋_GBK"/>
          <w:color w:val="auto"/>
          <w:spacing w:val="6"/>
          <w:sz w:val="32"/>
          <w:szCs w:val="32"/>
          <w:highlight w:val="none"/>
          <w:lang w:eastAsia="zh-CN"/>
        </w:rPr>
        <w:t>年“</w:t>
      </w:r>
      <w:r>
        <w:rPr>
          <w:rFonts w:hint="default" w:ascii="Times New Roman" w:hAnsi="Times New Roman" w:eastAsia="方正仿宋_GBK" w:cs="Times New Roman"/>
          <w:color w:val="auto"/>
          <w:spacing w:val="6"/>
          <w:sz w:val="32"/>
          <w:szCs w:val="32"/>
          <w:highlight w:val="none"/>
          <w:lang w:eastAsia="zh-CN"/>
        </w:rPr>
        <w:t>21305巩固脱贫攻坚成果衔接乡村振</w:t>
      </w:r>
      <w:r>
        <w:rPr>
          <w:rFonts w:hint="eastAsia" w:ascii="方正仿宋_GBK" w:hAnsi="方正仿宋_GBK" w:eastAsia="方正仿宋_GBK" w:cs="方正仿宋_GBK"/>
          <w:color w:val="auto"/>
          <w:spacing w:val="6"/>
          <w:sz w:val="32"/>
          <w:szCs w:val="32"/>
          <w:highlight w:val="none"/>
          <w:lang w:eastAsia="zh-CN"/>
        </w:rPr>
        <w:t>兴”相关科目（“项级”科目根</w:t>
      </w:r>
      <w:r>
        <w:rPr>
          <w:rFonts w:hint="default" w:ascii="Times New Roman" w:hAnsi="Times New Roman" w:eastAsia="方正仿宋_GBK" w:cs="Times New Roman"/>
          <w:color w:val="auto"/>
          <w:spacing w:val="6"/>
          <w:sz w:val="32"/>
          <w:szCs w:val="32"/>
          <w:highlight w:val="none"/>
          <w:lang w:eastAsia="zh-CN"/>
        </w:rPr>
        <w:t>据具体实施项目确定）</w:t>
      </w:r>
      <w:r>
        <w:rPr>
          <w:rFonts w:hint="default"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highlight w:val="none"/>
          <w:lang w:eastAsia="zh-CN"/>
        </w:rPr>
        <w:t>经济科</w:t>
      </w:r>
      <w:r>
        <w:rPr>
          <w:rFonts w:hint="eastAsia" w:ascii="方正仿宋_GBK" w:hAnsi="方正仿宋_GBK" w:eastAsia="方正仿宋_GBK" w:cs="方正仿宋_GBK"/>
          <w:color w:val="auto"/>
          <w:spacing w:val="6"/>
          <w:sz w:val="32"/>
          <w:szCs w:val="32"/>
          <w:highlight w:val="none"/>
          <w:lang w:eastAsia="zh-CN"/>
        </w:rPr>
        <w:t>目列“</w:t>
      </w:r>
      <w:r>
        <w:rPr>
          <w:rFonts w:hint="default" w:ascii="Times New Roman" w:hAnsi="Times New Roman" w:eastAsia="方正仿宋_GBK" w:cs="Times New Roman"/>
          <w:color w:val="auto"/>
          <w:spacing w:val="6"/>
          <w:sz w:val="32"/>
          <w:szCs w:val="32"/>
          <w:highlight w:val="none"/>
          <w:lang w:eastAsia="zh-CN"/>
        </w:rPr>
        <w:t>51301上下级政府间转移性支</w:t>
      </w:r>
      <w:r>
        <w:rPr>
          <w:rFonts w:hint="eastAsia" w:ascii="方正仿宋_GBK" w:hAnsi="方正仿宋_GBK" w:eastAsia="方正仿宋_GBK" w:cs="方正仿宋_GBK"/>
          <w:color w:val="auto"/>
          <w:spacing w:val="6"/>
          <w:sz w:val="32"/>
          <w:szCs w:val="32"/>
          <w:highlight w:val="none"/>
          <w:lang w:eastAsia="zh-CN"/>
        </w:rPr>
        <w:t>出”</w:t>
      </w:r>
      <w:r>
        <w:rPr>
          <w:rFonts w:hint="eastAsia" w:ascii="方正仿宋_GBK" w:hAnsi="方正仿宋_GBK" w:eastAsia="方正仿宋_GBK" w:cs="方正仿宋_GBK"/>
          <w:color w:val="auto"/>
          <w:spacing w:val="6"/>
          <w:sz w:val="32"/>
          <w:szCs w:val="32"/>
          <w:lang w:eastAsia="zh-CN"/>
        </w:rPr>
        <w:t>。现就</w:t>
      </w:r>
      <w:r>
        <w:rPr>
          <w:rFonts w:hint="default" w:ascii="Times New Roman" w:hAnsi="Times New Roman" w:eastAsia="方正仿宋_GBK" w:cs="Times New Roman"/>
          <w:color w:val="auto"/>
          <w:spacing w:val="6"/>
          <w:sz w:val="32"/>
          <w:szCs w:val="32"/>
          <w:lang w:eastAsia="zh-CN"/>
        </w:rPr>
        <w:t>资金使用管理有关事宜通知如下：</w:t>
      </w:r>
    </w:p>
    <w:p w14:paraId="1BD07150">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60" w:lineRule="exact"/>
        <w:ind w:firstLine="672" w:firstLineChars="200"/>
        <w:jc w:val="both"/>
        <w:textAlignment w:val="auto"/>
        <w:rPr>
          <w:rFonts w:hint="default" w:ascii="Times New Roman" w:hAnsi="Times New Roman" w:eastAsia="方正仿宋_GBK" w:cs="Times New Roman"/>
          <w:color w:val="auto"/>
          <w:spacing w:val="6"/>
          <w:sz w:val="32"/>
          <w:szCs w:val="32"/>
          <w:lang w:val="en-US" w:eastAsia="zh-CN" w:bidi="ar-SA"/>
        </w:rPr>
      </w:pPr>
      <w:r>
        <w:rPr>
          <w:rFonts w:hint="default" w:ascii="Times New Roman" w:hAnsi="Times New Roman" w:eastAsia="方正仿宋_GBK" w:cs="Times New Roman"/>
          <w:color w:val="auto"/>
          <w:spacing w:val="6"/>
          <w:sz w:val="32"/>
          <w:szCs w:val="32"/>
          <w:lang w:eastAsia="zh-CN"/>
        </w:rPr>
        <w:t>一、切实管好用好衔接资金。认真贯彻落实党中央、国务院关于巩固拓展脱贫攻坚成果同乡村振兴有效衔接的决策部署和省委省政府工作要求，</w:t>
      </w:r>
      <w:r>
        <w:rPr>
          <w:rFonts w:hint="default" w:ascii="Times New Roman" w:hAnsi="Times New Roman" w:eastAsia="方正仿宋_GBK" w:cs="Times New Roman"/>
          <w:color w:val="auto"/>
          <w:spacing w:val="6"/>
          <w:sz w:val="32"/>
          <w:szCs w:val="32"/>
          <w:lang w:val="en-US" w:eastAsia="zh-CN" w:bidi="ar-SA"/>
        </w:rPr>
        <w:t>严格按照《云南省财政衔接推进乡村振兴补助资金管理办法》和《云南省财政厅等六部门关于修订〈加强中央和省级财政衔接推进乡村振兴补助资金使用管理的实施意见〉的通知》（云财规〔2024〕10号）规定和要求安排使用资金，</w:t>
      </w:r>
      <w:r>
        <w:rPr>
          <w:rFonts w:hint="default" w:ascii="Times New Roman" w:hAnsi="Times New Roman" w:eastAsia="方正仿宋_GBK" w:cs="Times New Roman"/>
          <w:color w:val="auto"/>
          <w:spacing w:val="6"/>
          <w:sz w:val="32"/>
          <w:szCs w:val="32"/>
          <w:lang w:eastAsia="zh-CN"/>
        </w:rPr>
        <w:t>督促指导各地加强资金项目管理，优先选择条件成熟的项目，收到上级资金后</w:t>
      </w:r>
      <w:r>
        <w:rPr>
          <w:rFonts w:hint="default" w:ascii="Times New Roman" w:hAnsi="Times New Roman" w:eastAsia="方正仿宋_GBK" w:cs="Times New Roman"/>
          <w:color w:val="auto"/>
          <w:spacing w:val="6"/>
          <w:sz w:val="32"/>
          <w:szCs w:val="32"/>
          <w:lang w:val="en-US" w:eastAsia="zh-CN"/>
        </w:rPr>
        <w:t>30日内</w:t>
      </w:r>
      <w:r>
        <w:rPr>
          <w:rFonts w:hint="default" w:ascii="Times New Roman" w:hAnsi="Times New Roman" w:eastAsia="方正仿宋_GBK" w:cs="Times New Roman"/>
          <w:color w:val="auto"/>
          <w:spacing w:val="6"/>
          <w:sz w:val="32"/>
          <w:szCs w:val="32"/>
          <w:lang w:eastAsia="zh-CN"/>
        </w:rPr>
        <w:t>将资金分解下达到具体单位和项目（资金下达超时情况将纳入后续资金测算分配因素），加强项目实施跟踪调度</w:t>
      </w:r>
      <w:r>
        <w:rPr>
          <w:rFonts w:hint="default" w:ascii="Times New Roman" w:hAnsi="Times New Roman" w:eastAsia="方正仿宋_GBK" w:cs="Times New Roman"/>
          <w:color w:val="auto"/>
          <w:spacing w:val="6"/>
          <w:sz w:val="32"/>
          <w:szCs w:val="32"/>
          <w:lang w:val="en-US" w:eastAsia="zh-CN"/>
        </w:rPr>
        <w:t>，</w:t>
      </w:r>
      <w:r>
        <w:rPr>
          <w:rFonts w:hint="default" w:ascii="Times New Roman" w:hAnsi="Times New Roman" w:eastAsia="方正仿宋_GBK" w:cs="Times New Roman"/>
          <w:color w:val="auto"/>
          <w:spacing w:val="6"/>
          <w:sz w:val="32"/>
          <w:szCs w:val="32"/>
          <w:lang w:eastAsia="zh-CN"/>
        </w:rPr>
        <w:t>加快资金支出。持续强化资金监管，指导督促部门开展全过程绩效管理，确保资金使用规范安全，充分发挥资金使用效益。</w:t>
      </w:r>
    </w:p>
    <w:p w14:paraId="65637AC5">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60" w:lineRule="exact"/>
        <w:ind w:firstLine="672" w:firstLineChars="200"/>
        <w:jc w:val="both"/>
        <w:textAlignment w:val="auto"/>
        <w:rPr>
          <w:rFonts w:hint="default" w:ascii="Times New Roman" w:hAnsi="Times New Roman" w:eastAsia="方正仿宋_GBK" w:cs="Times New Roman"/>
          <w:color w:val="auto"/>
          <w:spacing w:val="0"/>
          <w:sz w:val="32"/>
          <w:szCs w:val="32"/>
          <w:lang w:eastAsia="zh-CN"/>
        </w:rPr>
      </w:pPr>
      <w:r>
        <w:rPr>
          <w:rFonts w:hint="default" w:ascii="Times New Roman" w:hAnsi="Times New Roman" w:eastAsia="方正仿宋_GBK" w:cs="Times New Roman"/>
          <w:color w:val="auto"/>
          <w:spacing w:val="6"/>
          <w:sz w:val="32"/>
          <w:szCs w:val="32"/>
          <w:lang w:eastAsia="zh-CN"/>
        </w:rPr>
        <w:t>二、突出衔接资金支持重点。贯彻落实党的二十届三中全会精神、中央和省委省政府关于更多依靠发展来巩固拓展脱贫攻坚成果要求，突出衔接资金支持重点，优先支持联农带农富农产业发展，202</w:t>
      </w:r>
      <w:r>
        <w:rPr>
          <w:rFonts w:hint="default" w:ascii="Times New Roman" w:hAnsi="Times New Roman" w:eastAsia="方正仿宋_GBK" w:cs="Times New Roman"/>
          <w:color w:val="auto"/>
          <w:spacing w:val="6"/>
          <w:sz w:val="32"/>
          <w:szCs w:val="32"/>
          <w:lang w:val="en-US" w:eastAsia="zh-CN"/>
        </w:rPr>
        <w:t>5</w:t>
      </w:r>
      <w:r>
        <w:rPr>
          <w:rFonts w:hint="default" w:ascii="Times New Roman" w:hAnsi="Times New Roman" w:eastAsia="方正仿宋_GBK" w:cs="Times New Roman"/>
          <w:color w:val="auto"/>
          <w:spacing w:val="6"/>
          <w:sz w:val="32"/>
          <w:szCs w:val="32"/>
          <w:lang w:eastAsia="zh-CN"/>
        </w:rPr>
        <w:t>年用于产业发展的衔接资金占比原则上不得低于下达你地区资金总规模的</w:t>
      </w:r>
      <w:r>
        <w:rPr>
          <w:rFonts w:hint="default" w:ascii="Times New Roman" w:hAnsi="Times New Roman" w:eastAsia="方正仿宋_GBK" w:cs="Times New Roman"/>
          <w:color w:val="auto"/>
          <w:spacing w:val="6"/>
          <w:sz w:val="32"/>
          <w:szCs w:val="32"/>
          <w:lang w:val="en-US" w:eastAsia="zh-CN"/>
        </w:rPr>
        <w:t>52%</w:t>
      </w:r>
      <w:r>
        <w:rPr>
          <w:rFonts w:hint="default" w:ascii="Times New Roman" w:hAnsi="Times New Roman" w:eastAsia="方正仿宋_GBK" w:cs="Times New Roman"/>
          <w:color w:val="auto"/>
          <w:spacing w:val="6"/>
          <w:sz w:val="32"/>
          <w:szCs w:val="32"/>
          <w:lang w:eastAsia="zh-CN"/>
        </w:rPr>
        <w:t>，进一步巩固拓展脱贫攻坚成果，增强脱贫地区和脱贫群众内生发展动力。</w:t>
      </w:r>
    </w:p>
    <w:p w14:paraId="7406CB1D">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60" w:lineRule="exact"/>
        <w:ind w:firstLine="648" w:firstLineChars="200"/>
        <w:jc w:val="both"/>
        <w:textAlignment w:val="auto"/>
        <w:rPr>
          <w:rFonts w:hint="default" w:ascii="Times New Roman" w:hAnsi="Times New Roman" w:eastAsia="方正仿宋_GBK" w:cs="Times New Roman"/>
          <w:color w:val="auto"/>
          <w:spacing w:val="0"/>
          <w:sz w:val="32"/>
          <w:szCs w:val="32"/>
        </w:rPr>
      </w:pPr>
    </w:p>
    <w:p w14:paraId="350DEA33">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60" w:lineRule="exact"/>
        <w:ind w:left="1986" w:leftChars="300" w:hanging="1344" w:hangingChars="415"/>
        <w:jc w:val="both"/>
        <w:textAlignment w:val="auto"/>
        <w:rPr>
          <w:rFonts w:hint="default" w:ascii="Times New Roman" w:hAnsi="Times New Roman" w:eastAsia="方正仿宋_GBK" w:cs="Times New Roman"/>
          <w:color w:val="auto"/>
          <w:spacing w:val="6"/>
          <w:sz w:val="32"/>
          <w:szCs w:val="32"/>
        </w:rPr>
      </w:pPr>
      <w:r>
        <w:rPr>
          <w:rFonts w:hint="default" w:ascii="Times New Roman" w:hAnsi="Times New Roman" w:eastAsia="方正仿宋_GBK" w:cs="Times New Roman"/>
          <w:color w:val="auto"/>
          <w:spacing w:val="0"/>
          <w:sz w:val="32"/>
          <w:szCs w:val="32"/>
        </w:rPr>
        <w:t>附件：</w:t>
      </w:r>
      <w:r>
        <w:rPr>
          <w:rFonts w:hint="default" w:ascii="Times New Roman" w:hAnsi="Times New Roman" w:eastAsia="方正仿宋_GBK" w:cs="Times New Roman"/>
          <w:color w:val="auto"/>
          <w:spacing w:val="6"/>
          <w:sz w:val="32"/>
          <w:szCs w:val="32"/>
          <w:lang w:val="en-US" w:eastAsia="zh-CN"/>
        </w:rPr>
        <w:t>1</w:t>
      </w:r>
      <w:r>
        <w:rPr>
          <w:rFonts w:hint="eastAsia" w:ascii="Times New Roman" w:hAnsi="Times New Roman" w:eastAsia="方正仿宋_GBK" w:cs="Times New Roman"/>
          <w:color w:val="auto"/>
          <w:spacing w:val="6"/>
          <w:sz w:val="32"/>
          <w:szCs w:val="32"/>
          <w:lang w:val="en-US" w:eastAsia="zh-CN"/>
        </w:rPr>
        <w:t>．</w:t>
      </w:r>
      <w:r>
        <w:rPr>
          <w:rFonts w:hint="default" w:ascii="Times New Roman" w:hAnsi="Times New Roman" w:eastAsia="方正仿宋_GBK" w:cs="Times New Roman"/>
          <w:color w:val="auto"/>
          <w:spacing w:val="6"/>
          <w:sz w:val="32"/>
          <w:szCs w:val="32"/>
        </w:rPr>
        <w:t>202</w:t>
      </w:r>
      <w:r>
        <w:rPr>
          <w:rFonts w:hint="default" w:ascii="Times New Roman" w:hAnsi="Times New Roman" w:eastAsia="方正仿宋_GBK" w:cs="Times New Roman"/>
          <w:color w:val="auto"/>
          <w:spacing w:val="6"/>
          <w:sz w:val="32"/>
          <w:szCs w:val="32"/>
          <w:lang w:val="en-US" w:eastAsia="zh-CN"/>
        </w:rPr>
        <w:t>5</w:t>
      </w:r>
      <w:r>
        <w:rPr>
          <w:rFonts w:hint="default" w:ascii="Times New Roman" w:hAnsi="Times New Roman" w:eastAsia="方正仿宋_GBK" w:cs="Times New Roman"/>
          <w:color w:val="auto"/>
          <w:spacing w:val="6"/>
          <w:sz w:val="32"/>
          <w:szCs w:val="32"/>
        </w:rPr>
        <w:t>年省级财政衔接推进乡村振兴补助资金</w:t>
      </w:r>
      <w:r>
        <w:rPr>
          <w:rFonts w:hint="default" w:ascii="Times New Roman" w:hAnsi="Times New Roman" w:eastAsia="方正仿宋_GBK" w:cs="Times New Roman"/>
          <w:color w:val="auto"/>
          <w:spacing w:val="6"/>
          <w:sz w:val="32"/>
          <w:szCs w:val="32"/>
          <w:lang w:eastAsia="zh-CN"/>
        </w:rPr>
        <w:t>提前下达</w:t>
      </w:r>
      <w:r>
        <w:rPr>
          <w:rFonts w:hint="default" w:ascii="Times New Roman" w:hAnsi="Times New Roman" w:eastAsia="方正仿宋_GBK" w:cs="Times New Roman"/>
          <w:color w:val="auto"/>
          <w:spacing w:val="6"/>
          <w:sz w:val="32"/>
          <w:szCs w:val="32"/>
        </w:rPr>
        <w:t>表</w:t>
      </w:r>
    </w:p>
    <w:p w14:paraId="0286F309">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left="1991" w:leftChars="744" w:hanging="399" w:hangingChars="119"/>
        <w:jc w:val="both"/>
        <w:textAlignment w:val="auto"/>
        <w:rPr>
          <w:rFonts w:hint="default" w:ascii="Times New Roman" w:hAnsi="Times New Roman" w:eastAsia="方正仿宋_GBK" w:cs="Times New Roman"/>
          <w:color w:val="auto"/>
          <w:spacing w:val="6"/>
          <w:sz w:val="32"/>
          <w:szCs w:val="32"/>
        </w:rPr>
      </w:pPr>
      <w:r>
        <w:rPr>
          <w:rFonts w:hint="default" w:ascii="Times New Roman" w:hAnsi="Times New Roman" w:eastAsia="方正仿宋_GBK" w:cs="Times New Roman"/>
          <w:color w:val="auto"/>
          <w:spacing w:val="6"/>
          <w:sz w:val="32"/>
          <w:szCs w:val="32"/>
        </w:rPr>
        <w:t>2</w:t>
      </w:r>
      <w:r>
        <w:rPr>
          <w:rFonts w:hint="eastAsia" w:ascii="Times New Roman" w:hAnsi="Times New Roman" w:eastAsia="方正仿宋_GBK" w:cs="Times New Roman"/>
          <w:color w:val="auto"/>
          <w:spacing w:val="6"/>
          <w:sz w:val="32"/>
          <w:szCs w:val="32"/>
          <w:lang w:eastAsia="zh-CN"/>
        </w:rPr>
        <w:t>．</w:t>
      </w:r>
      <w:r>
        <w:rPr>
          <w:rFonts w:hint="default" w:ascii="Times New Roman" w:hAnsi="Times New Roman" w:eastAsia="方正仿宋_GBK" w:cs="Times New Roman"/>
          <w:color w:val="auto"/>
          <w:spacing w:val="6"/>
          <w:sz w:val="32"/>
          <w:szCs w:val="32"/>
        </w:rPr>
        <w:t>202</w:t>
      </w:r>
      <w:r>
        <w:rPr>
          <w:rFonts w:hint="default" w:ascii="Times New Roman" w:hAnsi="Times New Roman" w:eastAsia="方正仿宋_GBK" w:cs="Times New Roman"/>
          <w:color w:val="auto"/>
          <w:spacing w:val="6"/>
          <w:sz w:val="32"/>
          <w:szCs w:val="32"/>
          <w:lang w:val="en-US" w:eastAsia="zh-CN"/>
        </w:rPr>
        <w:t>5</w:t>
      </w:r>
      <w:r>
        <w:rPr>
          <w:rFonts w:hint="default" w:ascii="Times New Roman" w:hAnsi="Times New Roman" w:eastAsia="方正仿宋_GBK" w:cs="Times New Roman"/>
          <w:color w:val="auto"/>
          <w:spacing w:val="6"/>
          <w:sz w:val="32"/>
          <w:szCs w:val="32"/>
        </w:rPr>
        <w:t>年</w:t>
      </w:r>
      <w:r>
        <w:rPr>
          <w:rFonts w:hint="default" w:ascii="Times New Roman" w:hAnsi="Times New Roman" w:eastAsia="方正仿宋_GBK" w:cs="Times New Roman"/>
          <w:color w:val="auto"/>
          <w:spacing w:val="6"/>
          <w:sz w:val="32"/>
          <w:szCs w:val="32"/>
          <w:lang w:eastAsia="zh-CN"/>
        </w:rPr>
        <w:t>提前下达</w:t>
      </w:r>
      <w:r>
        <w:rPr>
          <w:rFonts w:hint="default" w:ascii="Times New Roman" w:hAnsi="Times New Roman" w:eastAsia="方正仿宋_GBK" w:cs="Times New Roman"/>
          <w:color w:val="auto"/>
          <w:spacing w:val="6"/>
          <w:sz w:val="32"/>
          <w:szCs w:val="32"/>
        </w:rPr>
        <w:t>省级财政衔接推进乡村振兴补助资</w:t>
      </w:r>
      <w:r>
        <w:rPr>
          <w:rFonts w:hint="default" w:ascii="Times New Roman" w:hAnsi="Times New Roman" w:eastAsia="方正仿宋_GBK" w:cs="Times New Roman"/>
          <w:color w:val="auto"/>
          <w:spacing w:val="6"/>
          <w:sz w:val="32"/>
          <w:szCs w:val="32"/>
          <w:lang w:eastAsia="zh-CN"/>
        </w:rPr>
        <w:t>金</w:t>
      </w:r>
      <w:r>
        <w:rPr>
          <w:rFonts w:hint="default" w:ascii="Times New Roman" w:hAnsi="Times New Roman" w:eastAsia="方正仿宋_GBK" w:cs="Times New Roman"/>
          <w:color w:val="auto"/>
          <w:spacing w:val="6"/>
          <w:sz w:val="32"/>
          <w:szCs w:val="32"/>
        </w:rPr>
        <w:t>绩效目标表</w:t>
      </w:r>
    </w:p>
    <w:p w14:paraId="542B5831">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60" w:lineRule="exact"/>
        <w:ind w:left="1987" w:leftChars="719" w:hanging="449" w:hangingChars="139"/>
        <w:jc w:val="both"/>
        <w:textAlignment w:val="auto"/>
        <w:rPr>
          <w:rFonts w:hint="default" w:ascii="Times New Roman" w:hAnsi="Times New Roman" w:eastAsia="方正仿宋_GBK" w:cs="Times New Roman"/>
          <w:color w:val="auto"/>
          <w:spacing w:val="0"/>
          <w:sz w:val="32"/>
          <w:szCs w:val="32"/>
          <w:lang w:val="en-US" w:eastAsia="zh-CN"/>
        </w:rPr>
      </w:pPr>
    </w:p>
    <w:p w14:paraId="78838EBE">
      <w:pPr>
        <w:pStyle w:val="2"/>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rPr>
      </w:pPr>
    </w:p>
    <w:p w14:paraId="17E300AA">
      <w:pPr>
        <w:pStyle w:val="2"/>
        <w:keepNext w:val="0"/>
        <w:keepLines w:val="0"/>
        <w:pageBreakBefore w:val="0"/>
        <w:widowControl w:val="0"/>
        <w:pBdr>
          <w:top w:val="none" w:color="auto" w:sz="0" w:space="0"/>
          <w:bottom w:val="none" w:color="auto" w:sz="0" w:space="0"/>
        </w:pBdr>
        <w:kinsoku/>
        <w:wordWrap/>
        <w:overflowPunct/>
        <w:topLinePunct w:val="0"/>
        <w:autoSpaceDE/>
        <w:autoSpaceDN/>
        <w:bidi w:val="0"/>
        <w:spacing w:after="0" w:line="590" w:lineRule="exact"/>
        <w:ind w:left="0" w:leftChars="0" w:firstLine="0" w:firstLineChars="0"/>
        <w:jc w:val="both"/>
        <w:textAlignment w:val="auto"/>
        <w:rPr>
          <w:rFonts w:hint="default" w:ascii="Times New Roman" w:hAnsi="Times New Roman" w:eastAsia="方正仿宋_GBK" w:cs="Times New Roman"/>
          <w:color w:val="auto"/>
          <w:spacing w:val="0"/>
          <w:sz w:val="32"/>
          <w:szCs w:val="32"/>
        </w:rPr>
      </w:pPr>
    </w:p>
    <w:p w14:paraId="5B99518E">
      <w:pPr>
        <w:rPr>
          <w:rFonts w:hint="default"/>
        </w:rPr>
      </w:pPr>
    </w:p>
    <w:p w14:paraId="721A6C31">
      <w:pPr>
        <w:keepNext w:val="0"/>
        <w:keepLines w:val="0"/>
        <w:pageBreakBefore w:val="0"/>
        <w:widowControl w:val="0"/>
        <w:pBdr>
          <w:top w:val="none" w:color="auto" w:sz="0" w:space="0"/>
          <w:bottom w:val="none" w:color="auto" w:sz="0" w:space="0"/>
        </w:pBdr>
        <w:tabs>
          <w:tab w:val="left" w:pos="7560"/>
        </w:tabs>
        <w:kinsoku/>
        <w:wordWrap/>
        <w:overflowPunct/>
        <w:topLinePunct w:val="0"/>
        <w:autoSpaceDE/>
        <w:autoSpaceDN/>
        <w:bidi w:val="0"/>
        <w:adjustRightInd/>
        <w:snapToGrid/>
        <w:spacing w:after="0" w:line="590" w:lineRule="exact"/>
        <w:ind w:right="856" w:rightChars="400" w:firstLine="4212" w:firstLineChars="1300"/>
        <w:jc w:val="both"/>
        <w:textAlignment w:val="auto"/>
      </w:pPr>
      <w:bookmarkStart w:id="1" w:name="GWDocEnd"/>
      <w:bookmarkEnd w:id="1"/>
      <w:r>
        <w:rPr>
          <w:rFonts w:hint="default" w:ascii="Times New Roman" w:hAnsi="Times New Roman" w:eastAsia="方正仿宋_GBK" w:cs="Times New Roman"/>
          <w:color w:val="auto"/>
          <w:spacing w:val="0"/>
          <w:sz w:val="32"/>
          <w:szCs w:val="32"/>
          <w:lang w:eastAsia="zh-CN"/>
        </w:rPr>
        <w:t>202</w:t>
      </w:r>
      <w:r>
        <w:rPr>
          <w:rFonts w:hint="default" w:ascii="Times New Roman" w:hAnsi="Times New Roman" w:eastAsia="方正仿宋_GBK" w:cs="Times New Roman"/>
          <w:color w:val="auto"/>
          <w:spacing w:val="0"/>
          <w:sz w:val="32"/>
          <w:szCs w:val="32"/>
          <w:lang w:val="en-US" w:eastAsia="zh-CN"/>
        </w:rPr>
        <w:t>4</w:t>
      </w:r>
      <w:r>
        <w:rPr>
          <w:rFonts w:hint="default" w:ascii="Times New Roman" w:hAnsi="Times New Roman" w:eastAsia="方正仿宋_GBK" w:cs="Times New Roman"/>
          <w:color w:val="auto"/>
          <w:spacing w:val="0"/>
          <w:sz w:val="32"/>
          <w:szCs w:val="32"/>
          <w:lang w:eastAsia="zh-CN"/>
        </w:rPr>
        <w:t>年12月</w:t>
      </w:r>
      <w:r>
        <w:rPr>
          <w:rFonts w:hint="eastAsia" w:ascii="Times New Roman" w:hAnsi="Times New Roman" w:eastAsia="方正仿宋_GBK" w:cs="Times New Roman"/>
          <w:color w:val="auto"/>
          <w:spacing w:val="0"/>
          <w:sz w:val="32"/>
          <w:szCs w:val="32"/>
          <w:lang w:val="en-US" w:eastAsia="zh-CN"/>
        </w:rPr>
        <w:t>31日</w:t>
      </w:r>
    </w:p>
    <w:p w14:paraId="068E0E44">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544786A8">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1AE0B90F">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221F096F">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12B5F5C8">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0F4C12F5">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5BF3E889">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5C185B5E">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2CC08D74">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6CA0FBB6">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6A3DB5B0">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5B582FD1">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742EC9E2">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2025DD56">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1F5CC898">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0ABC9809">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70D841C3">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11A1CF37">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09F104BB">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036BA51B">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72540784">
      <w:pPr>
        <w:pStyle w:val="2"/>
      </w:pPr>
    </w:p>
    <w:p w14:paraId="07D823F1"/>
    <w:p w14:paraId="16F9876A">
      <w:pPr>
        <w:pStyle w:val="2"/>
      </w:pPr>
    </w:p>
    <w:p w14:paraId="616BB25E"/>
    <w:p w14:paraId="5DBF0F07">
      <w:pPr>
        <w:pStyle w:val="2"/>
      </w:pPr>
    </w:p>
    <w:p w14:paraId="0C816240"/>
    <w:p w14:paraId="27882721">
      <w:pPr>
        <w:pStyle w:val="2"/>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315" w:charSpace="950"/>
        </w:sectPr>
      </w:pPr>
    </w:p>
    <w:p w14:paraId="1B3BCA2B">
      <w:pPr>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eastAsia="zh-CN"/>
        </w:rPr>
        <w:t>附件</w:t>
      </w:r>
      <w:r>
        <w:rPr>
          <w:rFonts w:hint="default" w:ascii="Times New Roman" w:hAnsi="Times New Roman" w:eastAsia="方正黑体_GBK" w:cs="Times New Roman"/>
          <w:sz w:val="32"/>
          <w:szCs w:val="32"/>
          <w:lang w:val="en-US" w:eastAsia="zh-CN"/>
        </w:rPr>
        <w:t>1</w:t>
      </w:r>
    </w:p>
    <w:tbl>
      <w:tblPr>
        <w:tblStyle w:val="5"/>
        <w:tblW w:w="139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2"/>
        <w:gridCol w:w="1573"/>
        <w:gridCol w:w="1086"/>
        <w:gridCol w:w="1310"/>
        <w:gridCol w:w="1210"/>
        <w:gridCol w:w="1419"/>
        <w:gridCol w:w="1200"/>
        <w:gridCol w:w="1560"/>
        <w:gridCol w:w="2100"/>
        <w:gridCol w:w="930"/>
        <w:gridCol w:w="790"/>
      </w:tblGrid>
      <w:tr w14:paraId="42D7B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13900" w:type="dxa"/>
            <w:gridSpan w:val="11"/>
            <w:tcBorders>
              <w:top w:val="nil"/>
              <w:left w:val="nil"/>
              <w:bottom w:val="nil"/>
              <w:right w:val="nil"/>
            </w:tcBorders>
            <w:shd w:val="clear" w:color="auto" w:fill="auto"/>
            <w:vAlign w:val="center"/>
          </w:tcPr>
          <w:p w14:paraId="3AD172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2025年省级财政衔接推进乡村振兴补助资金提前下达表</w:t>
            </w:r>
          </w:p>
        </w:tc>
      </w:tr>
      <w:tr w14:paraId="4D1FA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 w:hRule="atLeast"/>
        </w:trPr>
        <w:tc>
          <w:tcPr>
            <w:tcW w:w="722" w:type="dxa"/>
            <w:tcBorders>
              <w:top w:val="nil"/>
              <w:left w:val="nil"/>
              <w:bottom w:val="nil"/>
              <w:right w:val="nil"/>
            </w:tcBorders>
            <w:shd w:val="clear" w:color="auto" w:fill="auto"/>
            <w:noWrap/>
            <w:vAlign w:val="center"/>
          </w:tcPr>
          <w:p w14:paraId="083D1D6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573" w:type="dxa"/>
            <w:tcBorders>
              <w:top w:val="nil"/>
              <w:left w:val="nil"/>
              <w:bottom w:val="nil"/>
              <w:right w:val="nil"/>
            </w:tcBorders>
            <w:shd w:val="clear" w:color="auto" w:fill="auto"/>
            <w:vAlign w:val="center"/>
          </w:tcPr>
          <w:p w14:paraId="5DF21B8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086" w:type="dxa"/>
            <w:tcBorders>
              <w:top w:val="nil"/>
              <w:left w:val="nil"/>
              <w:bottom w:val="nil"/>
              <w:right w:val="nil"/>
            </w:tcBorders>
            <w:shd w:val="clear" w:color="auto" w:fill="auto"/>
            <w:noWrap/>
            <w:vAlign w:val="center"/>
          </w:tcPr>
          <w:p w14:paraId="7F41DCA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310" w:type="dxa"/>
            <w:tcBorders>
              <w:top w:val="nil"/>
              <w:left w:val="nil"/>
              <w:bottom w:val="nil"/>
              <w:right w:val="nil"/>
            </w:tcBorders>
            <w:shd w:val="clear" w:color="auto" w:fill="auto"/>
            <w:noWrap/>
            <w:vAlign w:val="center"/>
          </w:tcPr>
          <w:p w14:paraId="6BFC9DCF">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10" w:type="dxa"/>
            <w:tcBorders>
              <w:top w:val="nil"/>
              <w:left w:val="nil"/>
              <w:bottom w:val="nil"/>
              <w:right w:val="nil"/>
            </w:tcBorders>
            <w:shd w:val="clear" w:color="auto" w:fill="auto"/>
            <w:noWrap/>
            <w:vAlign w:val="center"/>
          </w:tcPr>
          <w:p w14:paraId="25AB8F1F">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nil"/>
              <w:left w:val="nil"/>
              <w:bottom w:val="nil"/>
              <w:right w:val="nil"/>
            </w:tcBorders>
            <w:shd w:val="clear" w:color="auto" w:fill="auto"/>
            <w:noWrap/>
            <w:vAlign w:val="center"/>
          </w:tcPr>
          <w:p w14:paraId="0083FF7A">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nil"/>
              <w:left w:val="nil"/>
              <w:bottom w:val="nil"/>
              <w:right w:val="nil"/>
            </w:tcBorders>
            <w:shd w:val="clear" w:color="auto" w:fill="auto"/>
            <w:noWrap/>
            <w:vAlign w:val="center"/>
          </w:tcPr>
          <w:p w14:paraId="6095F193">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560" w:type="dxa"/>
            <w:tcBorders>
              <w:top w:val="nil"/>
              <w:left w:val="nil"/>
              <w:bottom w:val="nil"/>
              <w:right w:val="nil"/>
            </w:tcBorders>
            <w:shd w:val="clear" w:color="auto" w:fill="auto"/>
            <w:noWrap/>
            <w:vAlign w:val="center"/>
          </w:tcPr>
          <w:p w14:paraId="68EAC1F3">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3820" w:type="dxa"/>
            <w:gridSpan w:val="3"/>
            <w:tcBorders>
              <w:top w:val="nil"/>
              <w:left w:val="nil"/>
              <w:bottom w:val="nil"/>
              <w:right w:val="nil"/>
            </w:tcBorders>
            <w:shd w:val="clear" w:color="auto" w:fill="auto"/>
            <w:noWrap/>
            <w:vAlign w:val="center"/>
          </w:tcPr>
          <w:p w14:paraId="53EA28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单位：万元</w:t>
            </w:r>
          </w:p>
        </w:tc>
      </w:tr>
      <w:tr w14:paraId="5FDD9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7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D3A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序号</w:t>
            </w:r>
          </w:p>
        </w:tc>
        <w:tc>
          <w:tcPr>
            <w:tcW w:w="1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63B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地区</w:t>
            </w: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2A5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总计</w:t>
            </w:r>
          </w:p>
        </w:tc>
        <w:tc>
          <w:tcPr>
            <w:tcW w:w="6699"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84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巩固拓展脱贫攻坚成果和乡村振兴任务</w:t>
            </w:r>
          </w:p>
        </w:tc>
        <w:tc>
          <w:tcPr>
            <w:tcW w:w="2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2E3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其他巩固拓展脱贫攻坚成果和乡村振兴任务</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7FA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以工代赈任务</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F78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备注</w:t>
            </w:r>
          </w:p>
        </w:tc>
      </w:tr>
      <w:tr w14:paraId="71036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3590A">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98C1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8431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E21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金额</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AEF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其中：</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6C04">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3B1E8">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AF4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2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CC11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9D4D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539C6">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r>
      <w:tr w14:paraId="2CB6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D3F1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E689D">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0E8E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5FAE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3A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易地扶贫搬迁后续产业扶持因素</w:t>
            </w:r>
          </w:p>
        </w:tc>
        <w:tc>
          <w:tcPr>
            <w:tcW w:w="1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E2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易地扶贫搬迁一般债券规模因素</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E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kern w:val="0"/>
                <w:sz w:val="24"/>
                <w:szCs w:val="24"/>
                <w:u w:val="none"/>
                <w:lang w:val="en-US" w:eastAsia="zh-CN" w:bidi="ar"/>
              </w:rPr>
            </w:pPr>
            <w:r>
              <w:rPr>
                <w:rFonts w:hint="default" w:ascii="Times New Roman" w:hAnsi="Times New Roman" w:eastAsia="方正仿宋_GBK" w:cs="Times New Roman"/>
                <w:b/>
                <w:bCs/>
                <w:i w:val="0"/>
                <w:iCs w:val="0"/>
                <w:color w:val="000000"/>
                <w:kern w:val="0"/>
                <w:sz w:val="24"/>
                <w:szCs w:val="24"/>
                <w:u w:val="none"/>
                <w:lang w:val="en-US" w:eastAsia="zh-CN" w:bidi="ar"/>
              </w:rPr>
              <w:t>“千万工程”示范村奖补</w:t>
            </w:r>
          </w:p>
          <w:p w14:paraId="145021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因素</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AE3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农担“政担”风险分担机制因素</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3E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发展新型农村集体经济因素</w:t>
            </w: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5651D">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38F2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r>
      <w:tr w14:paraId="4F99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4EEF">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39A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玉溪市合计</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73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9846</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0D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9146</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98D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CB83">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1F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5850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F28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150</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A6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700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D35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B29A">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b/>
                <w:bCs/>
                <w:i w:val="0"/>
                <w:iCs w:val="0"/>
                <w:color w:val="000000"/>
                <w:sz w:val="24"/>
                <w:szCs w:val="24"/>
                <w:u w:val="none"/>
              </w:rPr>
            </w:pPr>
          </w:p>
        </w:tc>
      </w:tr>
      <w:tr w14:paraId="3AF23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71AA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33</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11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红塔区</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2A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971</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B77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831</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339B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AC7A">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0C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600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55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68A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140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43C6">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4BECD">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69D7F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AA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34</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BC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通海县</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AC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1020</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61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950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29A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C9B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EB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770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0B47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C5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4158">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0048">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2F351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F5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35</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14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江川区</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12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974</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EEB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904</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DEB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DF3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D7A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650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F30C">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B57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310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739F">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7E7FF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07B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36</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00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澄江市</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6A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1285</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1D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1215</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B918">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F70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A36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940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55C3">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907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ACA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F4E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19B7B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3C3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37</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76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华宁县</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B1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966</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4B3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896</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7E0C">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1BDC">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24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570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322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F6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60E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D79F">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17BBB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5FC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38</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273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易门县</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A82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992</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43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922</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14A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2810">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96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F7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B6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0B46">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DC3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01D4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70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39</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1F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峨山县</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AA2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1102</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BE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1032</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92AA">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C3897">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26F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670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2E16">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E0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1A75">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49B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4D40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58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40</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E3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新平县</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AC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889</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C91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819</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7341">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137D4">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DA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450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52E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59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2F4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1A3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r w14:paraId="434E2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9FA7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41</w:t>
            </w:r>
          </w:p>
        </w:tc>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56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元江县</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CEE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1647</w:t>
            </w:r>
          </w:p>
        </w:tc>
        <w:tc>
          <w:tcPr>
            <w:tcW w:w="1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098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1577</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6812">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21BD">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CDC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700</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271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BE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F9E6">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9F23">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sz w:val="24"/>
                <w:szCs w:val="24"/>
                <w:u w:val="none"/>
              </w:rPr>
            </w:pPr>
          </w:p>
        </w:tc>
      </w:tr>
    </w:tbl>
    <w:p w14:paraId="4249833B">
      <w:pPr>
        <w:pStyle w:val="2"/>
        <w:ind w:left="0" w:leftChars="0" w:firstLine="0" w:firstLineChars="0"/>
        <w:rPr>
          <w:rFonts w:hint="default"/>
          <w:lang w:val="en-US" w:eastAsia="zh-CN"/>
        </w:rPr>
        <w:sectPr>
          <w:pgSz w:w="16838" w:h="11906" w:orient="landscape"/>
          <w:pgMar w:top="1587" w:right="1474" w:bottom="1304" w:left="1587" w:header="1361" w:footer="1191" w:gutter="0"/>
          <w:pgNumType w:fmt="decimal"/>
          <w:cols w:space="0" w:num="1"/>
          <w:rtlGutter w:val="0"/>
          <w:docGrid w:type="linesAndChars" w:linePitch="315" w:charSpace="950"/>
        </w:sectPr>
      </w:pPr>
    </w:p>
    <w:p w14:paraId="75EC5D77">
      <w:pPr>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eastAsia="zh-CN"/>
        </w:rPr>
        <w:t>附件</w:t>
      </w:r>
      <w:r>
        <w:rPr>
          <w:rFonts w:hint="eastAsia" w:ascii="Times New Roman" w:hAnsi="Times New Roman" w:eastAsia="方正黑体_GBK" w:cs="Times New Roman"/>
          <w:sz w:val="32"/>
          <w:szCs w:val="32"/>
          <w:lang w:val="en-US" w:eastAsia="zh-CN"/>
        </w:rPr>
        <w:t>2</w:t>
      </w:r>
    </w:p>
    <w:tbl>
      <w:tblPr>
        <w:tblStyle w:val="5"/>
        <w:tblW w:w="9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8"/>
        <w:gridCol w:w="1260"/>
        <w:gridCol w:w="1740"/>
        <w:gridCol w:w="2106"/>
        <w:gridCol w:w="2916"/>
      </w:tblGrid>
      <w:tr w14:paraId="0DA0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9040" w:type="dxa"/>
            <w:gridSpan w:val="5"/>
            <w:tcBorders>
              <w:top w:val="nil"/>
              <w:left w:val="nil"/>
              <w:bottom w:val="nil"/>
              <w:right w:val="nil"/>
            </w:tcBorders>
            <w:shd w:val="clear" w:color="auto" w:fill="auto"/>
            <w:vAlign w:val="center"/>
          </w:tcPr>
          <w:p w14:paraId="12A010EC">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28"/>
                <w:szCs w:val="28"/>
                <w:u w:val="none"/>
              </w:rPr>
            </w:pPr>
            <w:r>
              <w:rPr>
                <w:rFonts w:hint="default" w:ascii="Times New Roman" w:hAnsi="Times New Roman" w:eastAsia="方正小标宋_GBK" w:cs="Times New Roman"/>
                <w:i w:val="0"/>
                <w:iCs w:val="0"/>
                <w:color w:val="000000"/>
                <w:kern w:val="0"/>
                <w:sz w:val="28"/>
                <w:szCs w:val="28"/>
                <w:u w:val="none"/>
                <w:lang w:val="en-US" w:eastAsia="zh-CN" w:bidi="ar"/>
              </w:rPr>
              <w:t>2025年提前下达省级财政衔接推进乡村振兴补助资金绩效目标表</w:t>
            </w:r>
          </w:p>
        </w:tc>
      </w:tr>
      <w:tr w14:paraId="502F5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227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3A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项目名称</w:t>
            </w:r>
          </w:p>
        </w:tc>
        <w:tc>
          <w:tcPr>
            <w:tcW w:w="67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C94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省级财政衔接推进乡村振兴补助资金</w:t>
            </w:r>
          </w:p>
        </w:tc>
      </w:tr>
      <w:tr w14:paraId="1648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227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812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市级主管部门</w:t>
            </w:r>
          </w:p>
        </w:tc>
        <w:tc>
          <w:tcPr>
            <w:tcW w:w="3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572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市财政局</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7E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市农业农村局、市发展改革委、市委组织部</w:t>
            </w:r>
          </w:p>
        </w:tc>
      </w:tr>
      <w:tr w14:paraId="5C69F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227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95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县（市、区）主管部门</w:t>
            </w:r>
          </w:p>
        </w:tc>
        <w:tc>
          <w:tcPr>
            <w:tcW w:w="3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46E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县（市、区）财政局</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6B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县（市、区）农业农村、发展改革、党委组织部门</w:t>
            </w:r>
          </w:p>
        </w:tc>
      </w:tr>
      <w:tr w14:paraId="01FC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trPr>
        <w:tc>
          <w:tcPr>
            <w:tcW w:w="1018" w:type="dxa"/>
            <w:tcBorders>
              <w:top w:val="single" w:color="000000" w:sz="4" w:space="0"/>
              <w:left w:val="single" w:color="000000" w:sz="4" w:space="0"/>
              <w:bottom w:val="nil"/>
              <w:right w:val="single" w:color="000000" w:sz="4" w:space="0"/>
            </w:tcBorders>
            <w:shd w:val="clear" w:color="auto" w:fill="auto"/>
            <w:vAlign w:val="center"/>
          </w:tcPr>
          <w:p w14:paraId="461836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年度总体目标</w:t>
            </w:r>
          </w:p>
        </w:tc>
        <w:tc>
          <w:tcPr>
            <w:tcW w:w="8022" w:type="dxa"/>
            <w:gridSpan w:val="4"/>
            <w:tcBorders>
              <w:top w:val="single" w:color="000000" w:sz="4" w:space="0"/>
              <w:left w:val="single" w:color="000000" w:sz="4" w:space="0"/>
              <w:bottom w:val="nil"/>
              <w:right w:val="single" w:color="000000" w:sz="4" w:space="0"/>
            </w:tcBorders>
            <w:shd w:val="clear" w:color="auto" w:fill="auto"/>
            <w:vAlign w:val="center"/>
          </w:tcPr>
          <w:p w14:paraId="43356F9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过渡期内在保持财政支持政策总体稳定的前提下，根据巩固拓展脱贫攻坚成果同乡村振兴有效衔接的需要和财力状况，合理安排财政投入规模，优化支出结构，调整支持重点。保留并调整优化原财政专项扶贫资金，聚焦支持脱贫地区巩固拓展脱贫攻坚成果和乡村振兴，适当向国家乡村振兴重点帮扶县倾斜，并保持用于产业发展的比例总体稳定，省级衔接资金用于产业的比例达到52%；提高资金使用效率和效益，当年衔接资金支出进度目标100%；提高项目资金透明度和公开效果；提升项目库建设水平；促进脱贫人口增收，脱贫地区农村居民人均可支配收入达到全省平均水平或者增速高于全省平均水平。</w:t>
            </w:r>
          </w:p>
        </w:tc>
      </w:tr>
      <w:tr w14:paraId="4DC8B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C4C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绩效</w:t>
            </w:r>
            <w:r>
              <w:rPr>
                <w:rFonts w:hint="default" w:ascii="Times New Roman" w:hAnsi="Times New Roman" w:eastAsia="方正仿宋_GBK" w:cs="Times New Roman"/>
                <w:i w:val="0"/>
                <w:iCs w:val="0"/>
                <w:color w:val="000000"/>
                <w:kern w:val="0"/>
                <w:sz w:val="24"/>
                <w:szCs w:val="24"/>
                <w:u w:val="none"/>
                <w:lang w:val="en-US" w:eastAsia="zh-CN" w:bidi="ar"/>
              </w:rPr>
              <w:br w:type="textWrapping"/>
            </w:r>
            <w:r>
              <w:rPr>
                <w:rFonts w:hint="default" w:ascii="Times New Roman" w:hAnsi="Times New Roman" w:eastAsia="方正仿宋_GBK" w:cs="Times New Roman"/>
                <w:i w:val="0"/>
                <w:iCs w:val="0"/>
                <w:color w:val="000000"/>
                <w:kern w:val="0"/>
                <w:sz w:val="24"/>
                <w:szCs w:val="24"/>
                <w:u w:val="none"/>
                <w:lang w:val="en-US" w:eastAsia="zh-CN" w:bidi="ar"/>
              </w:rPr>
              <w:t>目标</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B7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一级指标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D2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二级指标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8B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三级指标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9F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指标内容</w:t>
            </w:r>
          </w:p>
        </w:tc>
      </w:tr>
      <w:tr w14:paraId="358F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451FE">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23E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产出指标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36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数量指标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CE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产业资金投入率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9E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&gt;=52%</w:t>
            </w:r>
          </w:p>
        </w:tc>
      </w:tr>
      <w:tr w14:paraId="51EF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F962A">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F84C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5B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数量指标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76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资金支出率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B4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2279F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1EB2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C9CA2">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8B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质量指标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C4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项目资金公告公示率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04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4BCC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D4FB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7604">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48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质量指标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1E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完工项目验收合格率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3F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4B45D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E301D">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3D2C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F2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时效指标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DC3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项目开工率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E6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3A7F0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5521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74D9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05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时效指标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12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项目完工率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56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3B40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1E1A3">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712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30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经济效益指标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4E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脱贫地区农村居民人均可支配收入增幅</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10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&gt;=O%</w:t>
            </w:r>
          </w:p>
        </w:tc>
      </w:tr>
      <w:tr w14:paraId="7B2E5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965E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E606B">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B6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经济效益指标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E1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脱贫人口人均纯收入增幅</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143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&gt;=O%</w:t>
            </w:r>
          </w:p>
        </w:tc>
      </w:tr>
      <w:tr w14:paraId="704D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8DBD1">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A2D4C">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C7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社会效益指标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C5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防返贫监测对象覆盖率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6B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082D4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6C63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7D419">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1C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社会效益指标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8C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风险消除人口帮扶措施覆盖率</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B1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r>
      <w:tr w14:paraId="235C4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2B7D6">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BF0D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47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社会效益指标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BF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无规模性返贫</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A8B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无</w:t>
            </w:r>
          </w:p>
        </w:tc>
      </w:tr>
      <w:tr w14:paraId="0C2F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0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B9225">
            <w:pPr>
              <w:keepNext w:val="0"/>
              <w:keepLines w:val="0"/>
              <w:pageBreakBefore w:val="0"/>
              <w:widowControl/>
              <w:kinsoku/>
              <w:wordWrap/>
              <w:overflowPunct/>
              <w:topLinePunct w:val="0"/>
              <w:autoSpaceDE/>
              <w:autoSpaceDN/>
              <w:bidi w:val="0"/>
              <w:adjustRightInd/>
              <w:snapToGrid/>
              <w:spacing w:line="320" w:lineRule="exact"/>
              <w:jc w:val="center"/>
              <w:rPr>
                <w:rFonts w:hint="default" w:ascii="Times New Roman" w:hAnsi="Times New Roman" w:eastAsia="方正仿宋_GBK" w:cs="Times New Roman"/>
                <w:i w:val="0"/>
                <w:iCs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F2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满意度</w:t>
            </w:r>
          </w:p>
          <w:p w14:paraId="3C6FCF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E3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服务对象满意度指标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B1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帮扶工作群众满意度</w:t>
            </w:r>
          </w:p>
        </w:tc>
        <w:tc>
          <w:tcPr>
            <w:tcW w:w="2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5F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&gt;=90%</w:t>
            </w:r>
          </w:p>
        </w:tc>
      </w:tr>
    </w:tbl>
    <w:p w14:paraId="49F18876">
      <w:pPr>
        <w:pStyle w:val="2"/>
        <w:ind w:left="0" w:leftChars="0" w:firstLine="0" w:firstLineChars="0"/>
      </w:pPr>
    </w:p>
    <w:p w14:paraId="650854F3">
      <w:pPr>
        <w:pStyle w:val="2"/>
        <w:sectPr>
          <w:footerReference r:id="rId5" w:type="default"/>
          <w:footerReference r:id="rId6" w:type="even"/>
          <w:pgSz w:w="11906" w:h="16838"/>
          <w:pgMar w:top="1474" w:right="1474" w:bottom="1304" w:left="1587" w:header="1361" w:footer="1191" w:gutter="0"/>
          <w:pgNumType w:fmt="decimal"/>
          <w:cols w:space="0" w:num="1"/>
          <w:rtlGutter w:val="0"/>
          <w:docGrid w:type="linesAndChars" w:linePitch="315" w:charSpace="950"/>
        </w:sectPr>
      </w:pPr>
    </w:p>
    <w:p w14:paraId="26674BB7"/>
    <w:p w14:paraId="4F3E3675"/>
    <w:p w14:paraId="5E0ABD48">
      <w:pPr>
        <w:pStyle w:val="2"/>
      </w:pPr>
    </w:p>
    <w:p w14:paraId="44F9E430"/>
    <w:p w14:paraId="07CCF082">
      <w:pPr>
        <w:pStyle w:val="2"/>
      </w:pPr>
    </w:p>
    <w:p w14:paraId="293649A7"/>
    <w:p w14:paraId="2D1540F0">
      <w:pPr>
        <w:pStyle w:val="2"/>
      </w:pPr>
    </w:p>
    <w:p w14:paraId="2D261779"/>
    <w:p w14:paraId="4706E232">
      <w:pPr>
        <w:pStyle w:val="2"/>
      </w:pPr>
    </w:p>
    <w:p w14:paraId="5FCFBA3C"/>
    <w:p w14:paraId="57481E17">
      <w:pPr>
        <w:pStyle w:val="2"/>
      </w:pPr>
    </w:p>
    <w:p w14:paraId="68AC2B6C"/>
    <w:p w14:paraId="6EE57237">
      <w:pPr>
        <w:pStyle w:val="2"/>
      </w:pPr>
    </w:p>
    <w:p w14:paraId="6FCF5766"/>
    <w:p w14:paraId="6F55D7A9">
      <w:pPr>
        <w:pStyle w:val="2"/>
      </w:pPr>
    </w:p>
    <w:p w14:paraId="208B56EF"/>
    <w:p w14:paraId="03E43A82">
      <w:pPr>
        <w:pStyle w:val="2"/>
      </w:pPr>
    </w:p>
    <w:p w14:paraId="031AFB36"/>
    <w:p w14:paraId="00A4DB23">
      <w:pPr>
        <w:pStyle w:val="2"/>
      </w:pPr>
    </w:p>
    <w:p w14:paraId="6E939E49"/>
    <w:p w14:paraId="60E0C6EB">
      <w:pPr>
        <w:pStyle w:val="2"/>
      </w:pPr>
    </w:p>
    <w:p w14:paraId="467222C7">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386B6286">
      <w:pPr>
        <w:pStyle w:val="2"/>
        <w:ind w:left="0" w:leftChars="0" w:firstLine="0" w:firstLineChars="0"/>
      </w:pPr>
    </w:p>
    <w:p w14:paraId="4C4D7732">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32D24784">
      <w:pPr>
        <w:pStyle w:val="2"/>
      </w:pPr>
    </w:p>
    <w:p w14:paraId="39EA35C7"/>
    <w:p w14:paraId="5C9903BC">
      <w:pPr>
        <w:pStyle w:val="2"/>
      </w:pPr>
    </w:p>
    <w:p w14:paraId="22F4F754">
      <w:pPr>
        <w:keepNext w:val="0"/>
        <w:keepLines w:val="0"/>
        <w:pageBreakBefore w:val="0"/>
        <w:widowControl w:val="0"/>
        <w:kinsoku/>
        <w:wordWrap/>
        <w:overflowPunct/>
        <w:topLinePunct w:val="0"/>
        <w:autoSpaceDE/>
        <w:autoSpaceDN/>
        <w:bidi w:val="0"/>
        <w:adjustRightInd/>
        <w:snapToGrid/>
        <w:spacing w:line="500" w:lineRule="exact"/>
        <w:ind w:left="1136" w:leftChars="0" w:right="0" w:rightChars="0" w:hanging="1136" w:hangingChars="400"/>
        <w:jc w:val="left"/>
        <w:textAlignment w:val="auto"/>
        <w:outlineLvl w:val="9"/>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40640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4444"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2pt;margin-top:3.2pt;height:0.05pt;width:447.85pt;z-index:251661312;mso-width-relative:page;mso-height-relative:page;" filled="f" stroked="t" coordsize="21600,21600" o:gfxdata="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TblrjUAAAABQEAAA8AAAAAAAAAAQAgAAAAIgAAAGRycy9kb3ducmV2LnhtbFBLAQIUABQA&#10;AAAIAIdO4kDWje7R9AEAAOYDAAAOAAAAAAAAAAEAIAAAACMBAABkcnMvZTJvRG9jLnhtbFBLBQYA&#10;AAAABgAGAFkBAACJBQAAAAA=&#10;">
                <v:fill on="f" focussize="0,0"/>
                <v:stroke weight="0.34992125984252pt" color="#000000" joinstyle="round"/>
                <v:imagedata o:title=""/>
                <o:lock v:ext="edit" aspectratio="f"/>
              </v:line>
            </w:pict>
          </mc:Fallback>
        </mc:AlternateContent>
      </w:r>
      <w:r>
        <w:rPr>
          <w:rFonts w:hint="default" w:ascii="Times New Roman" w:hAnsi="Times New Roman" w:eastAsia="方正仿宋_GBK" w:cs="Times New Roman"/>
          <w:sz w:val="28"/>
          <w:szCs w:val="28"/>
          <w:lang w:val="en-US" w:eastAsia="zh-CN"/>
        </w:rPr>
        <w:t xml:space="preserve">  抄送：</w:t>
      </w:r>
      <w:r>
        <w:rPr>
          <w:rFonts w:hint="eastAsia" w:ascii="Times New Roman" w:hAnsi="Times New Roman" w:eastAsia="方正仿宋_GBK" w:cs="Times New Roman"/>
          <w:sz w:val="28"/>
          <w:szCs w:val="28"/>
          <w:lang w:val="en-US" w:eastAsia="zh-CN"/>
        </w:rPr>
        <w:t>市委组织部，</w:t>
      </w:r>
      <w:r>
        <w:rPr>
          <w:rFonts w:hint="default" w:ascii="Times New Roman" w:hAnsi="Times New Roman" w:eastAsia="方正仿宋_GBK" w:cs="Times New Roman"/>
          <w:kern w:val="2"/>
          <w:sz w:val="28"/>
          <w:szCs w:val="28"/>
          <w:lang w:val="en-US" w:eastAsia="zh-CN" w:bidi="ar-SA"/>
        </w:rPr>
        <w:t>市审计局，市</w:t>
      </w:r>
      <w:r>
        <w:rPr>
          <w:rFonts w:hint="eastAsia" w:ascii="Times New Roman" w:hAnsi="Times New Roman" w:eastAsia="方正仿宋_GBK" w:cs="Times New Roman"/>
          <w:kern w:val="2"/>
          <w:sz w:val="28"/>
          <w:szCs w:val="28"/>
          <w:lang w:val="en-US" w:eastAsia="zh-CN" w:bidi="ar-SA"/>
        </w:rPr>
        <w:t>农业农村</w:t>
      </w:r>
      <w:r>
        <w:rPr>
          <w:rFonts w:hint="default" w:ascii="Times New Roman" w:hAnsi="Times New Roman" w:eastAsia="方正仿宋_GBK" w:cs="Times New Roman"/>
          <w:kern w:val="2"/>
          <w:sz w:val="28"/>
          <w:szCs w:val="28"/>
          <w:lang w:val="en-US" w:eastAsia="zh-CN" w:bidi="ar-SA"/>
        </w:rPr>
        <w:t>局，本局预算科、国库科。</w:t>
      </w:r>
    </w:p>
    <w:p w14:paraId="4A6B028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textAlignment w:val="auto"/>
        <w:outlineLvl w:val="9"/>
      </w:pPr>
      <w:r>
        <w:rPr>
          <w:rFonts w:hint="default" w:ascii="Times New Roman" w:hAnsi="Times New Roman" w:eastAsia="方正仿宋_GBK" w:cs="Times New Roman"/>
        </w:rPr>
        <mc:AlternateContent>
          <mc:Choice Requires="wps">
            <w:drawing>
              <wp:anchor distT="0" distB="0" distL="114300" distR="114300" simplePos="0" relativeHeight="251662336" behindDoc="0" locked="0" layoutInCell="1" allowOverlap="1">
                <wp:simplePos x="0" y="0"/>
                <wp:positionH relativeFrom="column">
                  <wp:posOffset>23495</wp:posOffset>
                </wp:positionH>
                <wp:positionV relativeFrom="paragraph">
                  <wp:posOffset>321945</wp:posOffset>
                </wp:positionV>
                <wp:extent cx="568769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87695" cy="635"/>
                        </a:xfrm>
                        <a:prstGeom prst="line">
                          <a:avLst/>
                        </a:prstGeom>
                        <a:ln w="4444"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5pt;margin-top:25.35pt;height:0.05pt;width:447.85pt;z-index:251662336;mso-width-relative:page;mso-height-relative:page;" filled="f" stroked="t" coordsize="21600,21600" o:gfxdata="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GJBbp1gAAAAcBAAAPAAAAAAAAAAEAIAAAACIAAABkcnMvZG93bnJldi54bWxQSwEC&#10;FAAUAAAACACHTuJAhV2amvYBAADmAwAADgAAAAAAAAABACAAAAAlAQAAZHJzL2Uyb0RvYy54bWxQ&#10;SwUGAAAAAAYABgBZAQAAjQUAAAAA&#10;">
                <v:fill on="f" focussize="0,0"/>
                <v:stroke weight="0.34992125984252pt" color="#000000" joinstyle="round"/>
                <v:imagedata o:title=""/>
                <o:lock v:ext="edit" aspectratio="f"/>
              </v:line>
            </w:pict>
          </mc:Fallback>
        </mc:AlternateContent>
      </w:r>
      <w:r>
        <w:rPr>
          <w:rFonts w:hint="default" w:ascii="Times New Roman" w:hAnsi="Times New Roman" w:eastAsia="方正仿宋_GBK" w:cs="Times New Roman"/>
        </w:rPr>
        <mc:AlternateContent>
          <mc:Choice Requires="wps">
            <w:drawing>
              <wp:anchor distT="0" distB="0" distL="114300" distR="114300" simplePos="0" relativeHeight="251663360" behindDoc="0" locked="0" layoutInCell="1" allowOverlap="1">
                <wp:simplePos x="0" y="0"/>
                <wp:positionH relativeFrom="column">
                  <wp:posOffset>22860</wp:posOffset>
                </wp:positionH>
                <wp:positionV relativeFrom="paragraph">
                  <wp:posOffset>28575</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2.25pt;height:0.05pt;width:447.85pt;z-index:251663360;mso-width-relative:page;mso-height-relative:page;" filled="f" stroked="t" coordsize="21600,21600" o:gfxdata="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YedmbVAAAABQEAAA8AAAAAAAAAAQAgAAAAIgAAAGRycy9kb3ducmV2LnhtbFBLAQIU&#10;ABQAAAAIAIdO4kDInNTr9gEAAOYDAAAOAAAAAAAAAAEAIAAAACQBAABkcnMvZTJvRG9jLnhtbFBL&#10;BQYAAAAABgAGAFkBAACM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玉溪市财政局办公室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20</w:t>
      </w:r>
      <w:r>
        <w:rPr>
          <w:rFonts w:hint="default"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12</w:t>
      </w:r>
      <w:r>
        <w:rPr>
          <w:rFonts w:hint="default"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31</w:t>
      </w:r>
      <w:r>
        <w:rPr>
          <w:rFonts w:hint="default" w:ascii="Times New Roman" w:hAnsi="Times New Roman" w:eastAsia="方正仿宋_GBK" w:cs="Times New Roman"/>
          <w:sz w:val="28"/>
          <w:szCs w:val="28"/>
        </w:rPr>
        <w:t>日印发</w:t>
      </w:r>
      <w:r>
        <w:rPr>
          <w:rFonts w:hint="default" w:ascii="Times New Roman" w:hAnsi="Times New Roman" w:eastAsia="方正仿宋_GBK" w:cs="Times New Roman"/>
          <w:sz w:val="28"/>
          <w:szCs w:val="28"/>
          <w:lang w:val="en-US" w:eastAsia="zh-CN"/>
        </w:rPr>
        <w:t xml:space="preserve">  </w:t>
      </w:r>
    </w:p>
    <w:sectPr>
      <w:footerReference r:id="rId7" w:type="default"/>
      <w:footerReference r:id="rId8" w:type="even"/>
      <w:pgSz w:w="11906" w:h="16838"/>
      <w:pgMar w:top="1474" w:right="1474" w:bottom="1304" w:left="1587" w:header="1361" w:footer="1191" w:gutter="0"/>
      <w:pgNumType w:fmt="decimal"/>
      <w:cols w:space="0" w:num="1"/>
      <w:rtlGutter w:val="0"/>
      <w:docGrid w:type="linesAndChars" w:linePitch="315" w:charSpace="9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公文小标宋简">
    <w:altName w:val="方正小标宋_GBK"/>
    <w:panose1 w:val="00000000000000000000"/>
    <w:charset w:val="86"/>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85FB2">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4702175</wp:posOffset>
              </wp:positionH>
              <wp:positionV relativeFrom="paragraph">
                <wp:posOffset>0</wp:posOffset>
              </wp:positionV>
              <wp:extent cx="9144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144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99D0F">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0.25pt;margin-top:0pt;height:144pt;width:72pt;mso-position-horizontal-relative:margin;z-index:251659264;mso-width-relative:page;mso-height-relative:page;" filled="f" stroked="f" coordsize="21600,21600" o:gfxdata="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TWsQt1QAAAAgBAAAPAAAAAAAAAAEAIAAAACIAAABkcnMvZG93bnJl&#10;di54bWxQSwECFAAUAAAACACHTuJAQTzRXTkCAABiBAAADgAAAAAAAAABACAAAAAkAQAAZHJzL2Uy&#10;b0RvYy54bWxQSwUGAAAAAAYABgBZAQAAzwUAAAAA&#10;">
              <v:fill on="f" focussize="0,0"/>
              <v:stroke on="f" weight="0.5pt"/>
              <v:imagedata o:title=""/>
              <o:lock v:ext="edit" aspectratio="f"/>
              <v:textbox inset="0mm,0mm,0mm,0mm" style="mso-fit-shape-to-text:t;">
                <w:txbxContent>
                  <w:p w14:paraId="5E699D0F">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3798B">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556F2">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F556F2">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31C2E">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posOffset>4778375</wp:posOffset>
              </wp:positionH>
              <wp:positionV relativeFrom="paragraph">
                <wp:posOffset>0</wp:posOffset>
              </wp:positionV>
              <wp:extent cx="8382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8382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A75B44">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6.25pt;margin-top:0pt;height:144pt;width:66pt;mso-position-horizontal-relative:margin;z-index:251661312;mso-width-relative:page;mso-height-relative:page;" filled="f" stroked="f" coordsize="21600,21600" o:gfxdata="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bAgLa1gAAAAgBAAAPAAAAAAAAAAEAIAAAACIAAABkcnMvZG93bnJl&#10;di54bWxQSwECFAAUAAAACACHTuJAVibTgzgCAABiBAAADgAAAAAAAAABACAAAAAlAQAAZHJzL2Uy&#10;b0RvYy54bWxQSwUGAAAAAAYABgBZAQAAzwUAAAAA&#10;">
              <v:fill on="f" focussize="0,0"/>
              <v:stroke on="f" weight="0.5pt"/>
              <v:imagedata o:title=""/>
              <o:lock v:ext="edit" aspectratio="f"/>
              <v:textbox inset="0mm,0mm,0mm,0mm" style="mso-fit-shape-to-text:t;">
                <w:txbxContent>
                  <w:p w14:paraId="2AA75B44">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8FE25">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5129DC">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95129DC">
                    <w:pPr>
                      <w:pStyle w:val="3"/>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52259">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86F6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evenAndOddHeaders w:val="1"/>
  <w:drawingGridHorizontalSpacing w:val="107"/>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94B65"/>
    <w:rsid w:val="00903179"/>
    <w:rsid w:val="02166FE3"/>
    <w:rsid w:val="060C3E7B"/>
    <w:rsid w:val="091205DC"/>
    <w:rsid w:val="10204305"/>
    <w:rsid w:val="10492CEE"/>
    <w:rsid w:val="120065EA"/>
    <w:rsid w:val="162D6720"/>
    <w:rsid w:val="179E7BB3"/>
    <w:rsid w:val="19A52923"/>
    <w:rsid w:val="1AAF1839"/>
    <w:rsid w:val="213A23C7"/>
    <w:rsid w:val="222A710D"/>
    <w:rsid w:val="27E867C0"/>
    <w:rsid w:val="2CF94B65"/>
    <w:rsid w:val="2DA263D1"/>
    <w:rsid w:val="32723386"/>
    <w:rsid w:val="335234DC"/>
    <w:rsid w:val="39891084"/>
    <w:rsid w:val="39AB0AA2"/>
    <w:rsid w:val="3AA838B8"/>
    <w:rsid w:val="3D517064"/>
    <w:rsid w:val="44B96107"/>
    <w:rsid w:val="45C26C2F"/>
    <w:rsid w:val="45EC0A45"/>
    <w:rsid w:val="471758DA"/>
    <w:rsid w:val="47236543"/>
    <w:rsid w:val="50252009"/>
    <w:rsid w:val="527350D1"/>
    <w:rsid w:val="53772781"/>
    <w:rsid w:val="54B17384"/>
    <w:rsid w:val="5A15431D"/>
    <w:rsid w:val="5A535466"/>
    <w:rsid w:val="5BE15E63"/>
    <w:rsid w:val="719B1EF2"/>
    <w:rsid w:val="748F74E7"/>
    <w:rsid w:val="75F002B8"/>
    <w:rsid w:val="7AA82655"/>
    <w:rsid w:val="7F8D3AF2"/>
    <w:rsid w:val="EFFBAF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630"/>
    </w:pPr>
    <w:rPr>
      <w:rFonts w:ascii="Times New Roman" w:hAnsi="Times New Roman" w:eastAsia="仿宋_GB2312"/>
      <w:kern w:val="0"/>
      <w:sz w:val="32"/>
      <w:szCs w:val="20"/>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heme="minorHAnsi" w:hAnsiTheme="minorHAnsi" w:eastAsiaTheme="minorEastAsia" w:cstheme="minorBidi"/>
      <w:sz w:val="18"/>
      <w:szCs w:val="18"/>
    </w:rPr>
  </w:style>
  <w:style w:type="character" w:customStyle="1" w:styleId="9">
    <w:name w:val="页脚 Char"/>
    <w:basedOn w:val="7"/>
    <w:link w:val="3"/>
    <w:qFormat/>
    <w:uiPriority w:val="99"/>
    <w:rPr>
      <w:rFonts w:asciiTheme="minorHAnsi" w:hAnsiTheme="minorHAnsi" w:eastAsiaTheme="minorEastAsia" w:cstheme="minorBidi"/>
      <w:sz w:val="18"/>
      <w:szCs w:val="18"/>
    </w:rPr>
  </w:style>
  <w:style w:type="character" w:customStyle="1" w:styleId="10">
    <w:name w:val="font21"/>
    <w:basedOn w:val="7"/>
    <w:qFormat/>
    <w:uiPriority w:val="0"/>
    <w:rPr>
      <w:rFonts w:hint="eastAsia" w:ascii="宋体" w:hAnsi="宋体" w:eastAsia="宋体" w:cs="宋体"/>
      <w:color w:val="000000"/>
      <w:sz w:val="20"/>
      <w:szCs w:val="20"/>
      <w:u w:val="none"/>
    </w:rPr>
  </w:style>
  <w:style w:type="paragraph" w:customStyle="1" w:styleId="11">
    <w:name w:val="抄 送"/>
    <w:basedOn w:val="12"/>
    <w:qFormat/>
    <w:uiPriority w:val="0"/>
    <w:rPr>
      <w:rFonts w:ascii="Times New Roman" w:hAnsi="Times New Roman" w:eastAsia="仿宋_GB2312"/>
      <w:sz w:val="32"/>
      <w:szCs w:val="20"/>
    </w:rPr>
  </w:style>
  <w:style w:type="paragraph" w:customStyle="1" w:styleId="12">
    <w:name w:val="主题词"/>
    <w:basedOn w:val="1"/>
    <w:qFormat/>
    <w:uiPriority w:val="0"/>
    <w:pPr>
      <w:ind w:left="1246" w:hanging="1246"/>
    </w:pPr>
    <w:rPr>
      <w:rFonts w:eastAsia="公文小标宋简"/>
    </w:rPr>
  </w:style>
  <w:style w:type="character" w:customStyle="1" w:styleId="13">
    <w:name w:val="font61"/>
    <w:basedOn w:val="7"/>
    <w:qFormat/>
    <w:uiPriority w:val="0"/>
    <w:rPr>
      <w:rFonts w:hint="default" w:ascii="Times New Roman" w:hAnsi="Times New Roman" w:cs="Times New Roman"/>
      <w:color w:val="000000"/>
      <w:sz w:val="36"/>
      <w:szCs w:val="36"/>
      <w:u w:val="none"/>
    </w:rPr>
  </w:style>
  <w:style w:type="character" w:customStyle="1" w:styleId="14">
    <w:name w:val="font51"/>
    <w:basedOn w:val="7"/>
    <w:qFormat/>
    <w:uiPriority w:val="0"/>
    <w:rPr>
      <w:rFonts w:ascii="方正仿宋_GBK" w:hAnsi="方正仿宋_GBK" w:eastAsia="方正仿宋_GBK" w:cs="方正仿宋_GBK"/>
      <w:color w:val="000000"/>
      <w:sz w:val="24"/>
      <w:szCs w:val="24"/>
      <w:u w:val="none"/>
    </w:rPr>
  </w:style>
  <w:style w:type="character" w:customStyle="1" w:styleId="15">
    <w:name w:val="font01"/>
    <w:basedOn w:val="7"/>
    <w:qFormat/>
    <w:uiPriority w:val="0"/>
    <w:rPr>
      <w:rFonts w:hint="default" w:ascii="Times New Roman" w:hAnsi="Times New Roman" w:cs="Times New Roman"/>
      <w:color w:val="000000"/>
      <w:sz w:val="24"/>
      <w:szCs w:val="24"/>
      <w:u w:val="none"/>
    </w:rPr>
  </w:style>
  <w:style w:type="character" w:customStyle="1" w:styleId="16">
    <w:name w:val="font81"/>
    <w:basedOn w:val="7"/>
    <w:qFormat/>
    <w:uiPriority w:val="0"/>
    <w:rPr>
      <w:rFonts w:hint="eastAsia" w:ascii="方正仿宋_GBK" w:hAnsi="方正仿宋_GBK" w:eastAsia="方正仿宋_GBK" w:cs="方正仿宋_GBK"/>
      <w:color w:val="000000"/>
      <w:sz w:val="22"/>
      <w:szCs w:val="22"/>
      <w:u w:val="none"/>
    </w:rPr>
  </w:style>
  <w:style w:type="character" w:customStyle="1" w:styleId="17">
    <w:name w:val="font41"/>
    <w:basedOn w:val="7"/>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6</Pages>
  <Words>53</Words>
  <Characters>305</Characters>
  <Lines>2</Lines>
  <Paragraphs>1</Paragraphs>
  <TotalTime>1</TotalTime>
  <ScaleCrop>false</ScaleCrop>
  <LinksUpToDate>false</LinksUpToDate>
  <CharactersWithSpaces>357</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2018-09-06T09:32:00Z</dcterms:created>
  <dc:creator>市财政局</dc:creator>
  <cp:lastModifiedBy>user</cp:lastModifiedBy>
  <dcterms:modified xsi:type="dcterms:W3CDTF">2025-03-21T10:07:41Z</dcterms:modified>
  <dc:title>玉溪市财政局文件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docranid">
    <vt:lpwstr>457DDD9DFF5447448CF2D47B17CDF9FC</vt:lpwstr>
  </property>
  <property fmtid="{D5CDD505-2E9C-101B-9397-08002B2CF9AE}" pid="4" name="ICV">
    <vt:lpwstr>EF1D3BFC54BB4AF6AABF63D26929B7D9</vt:lpwstr>
  </property>
</Properties>
</file>