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CEABF2">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玉溪市重点产业服务中心</w:t>
      </w:r>
    </w:p>
    <w:p w14:paraId="5988490F">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2026年</w:t>
      </w:r>
      <w:r>
        <w:rPr>
          <w:rFonts w:hint="eastAsia" w:ascii="方正小标宋简体" w:hAnsi="方正小标宋简体" w:eastAsia="方正小标宋简体" w:cs="方正小标宋简体"/>
          <w:b w:val="0"/>
          <w:bCs w:val="0"/>
          <w:sz w:val="44"/>
          <w:szCs w:val="44"/>
          <w:lang w:eastAsia="zh-CN"/>
        </w:rPr>
        <w:t>预算公开</w:t>
      </w:r>
      <w:r>
        <w:rPr>
          <w:rFonts w:hint="eastAsia" w:ascii="方正小标宋简体" w:hAnsi="方正小标宋简体" w:eastAsia="方正小标宋简体" w:cs="方正小标宋简体"/>
          <w:b w:val="0"/>
          <w:bCs w:val="0"/>
          <w:sz w:val="44"/>
          <w:szCs w:val="44"/>
        </w:rPr>
        <w:t>目录</w:t>
      </w:r>
    </w:p>
    <w:p w14:paraId="68CEC3AC">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黑体" w:hAnsi="黑体" w:eastAsia="黑体"/>
          <w:sz w:val="30"/>
          <w:szCs w:val="30"/>
        </w:rPr>
      </w:pPr>
    </w:p>
    <w:p w14:paraId="0C90D63B">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黑体" w:hAnsi="黑体" w:eastAsia="黑体"/>
          <w:sz w:val="32"/>
          <w:szCs w:val="32"/>
          <w:lang w:val="en-US" w:eastAsia="zh-CN"/>
        </w:rPr>
      </w:pPr>
      <w:r>
        <w:rPr>
          <w:rFonts w:hint="eastAsia" w:ascii="黑体" w:hAnsi="黑体" w:eastAsia="黑体"/>
          <w:sz w:val="32"/>
          <w:szCs w:val="32"/>
        </w:rPr>
        <w:t xml:space="preserve">第一部分 </w:t>
      </w:r>
      <w:r>
        <w:rPr>
          <w:rFonts w:hint="default" w:ascii="Times New Roman" w:hAnsi="Times New Roman" w:eastAsia="黑体" w:cs="Times New Roman"/>
          <w:sz w:val="32"/>
          <w:szCs w:val="32"/>
          <w:lang w:val="en-US" w:eastAsia="zh-CN"/>
        </w:rPr>
        <w:t>玉溪市重点产业服务中心202</w:t>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sz w:val="32"/>
          <w:szCs w:val="32"/>
        </w:rPr>
        <w:t>年部门预算编制说明</w:t>
      </w:r>
    </w:p>
    <w:p w14:paraId="08E13E88">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一、基本职能及主要工作</w:t>
      </w:r>
    </w:p>
    <w:p w14:paraId="169FB7D4">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二、预算单位基本情况</w:t>
      </w:r>
    </w:p>
    <w:p w14:paraId="47ABD42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三、预算单位收入情况</w:t>
      </w:r>
    </w:p>
    <w:p w14:paraId="1C1BC95E">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四、</w:t>
      </w:r>
      <w:r>
        <w:rPr>
          <w:rFonts w:hint="eastAsia" w:ascii="仿宋_GB2312" w:hAnsi="仿宋_GB2312" w:eastAsia="仿宋_GB2312" w:cs="仿宋_GB2312"/>
          <w:kern w:val="0"/>
          <w:sz w:val="30"/>
          <w:szCs w:val="30"/>
        </w:rPr>
        <w:t>预算单位支出情况</w:t>
      </w:r>
    </w:p>
    <w:p w14:paraId="32F7979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五、</w:t>
      </w:r>
      <w:r>
        <w:rPr>
          <w:rFonts w:hint="eastAsia" w:ascii="仿宋_GB2312" w:hAnsi="仿宋_GB2312" w:eastAsia="仿宋_GB2312" w:cs="仿宋_GB2312"/>
          <w:kern w:val="0"/>
          <w:sz w:val="30"/>
          <w:szCs w:val="30"/>
        </w:rPr>
        <w:t>省对下专项转移支付情况</w:t>
      </w:r>
    </w:p>
    <w:p w14:paraId="1DA15096">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val="en-US" w:eastAsia="zh-CN"/>
        </w:rPr>
        <w:t>六、</w:t>
      </w:r>
      <w:r>
        <w:rPr>
          <w:rFonts w:hint="eastAsia" w:ascii="仿宋_GB2312" w:hAnsi="仿宋_GB2312" w:eastAsia="仿宋_GB2312" w:cs="仿宋_GB2312"/>
          <w:kern w:val="0"/>
          <w:sz w:val="30"/>
          <w:szCs w:val="30"/>
        </w:rPr>
        <w:t>政府采购预算情况</w:t>
      </w:r>
    </w:p>
    <w:p w14:paraId="210B021A">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七、部门“三公”经费增减变化情况及原因说明</w:t>
      </w:r>
    </w:p>
    <w:p w14:paraId="6D18C527">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八、重点项目预算绩效目标情况</w:t>
      </w:r>
    </w:p>
    <w:p w14:paraId="76094410">
      <w:pPr>
        <w:keepNext w:val="0"/>
        <w:keepLines w:val="0"/>
        <w:pageBreakBefore w:val="0"/>
        <w:widowControl/>
        <w:kinsoku/>
        <w:wordWrap/>
        <w:overflowPunct/>
        <w:topLinePunct w:val="0"/>
        <w:autoSpaceDE/>
        <w:autoSpaceDN/>
        <w:bidi w:val="0"/>
        <w:adjustRightInd/>
        <w:snapToGrid/>
        <w:ind w:firstLine="0" w:firstLineChars="0"/>
        <w:jc w:val="left"/>
        <w:textAlignment w:val="auto"/>
        <w:rPr>
          <w:rFonts w:hint="eastAsia" w:ascii="黑体" w:hAnsi="黑体" w:eastAsia="黑体"/>
          <w:sz w:val="32"/>
          <w:szCs w:val="32"/>
        </w:rPr>
      </w:pPr>
      <w:r>
        <w:rPr>
          <w:rFonts w:hint="eastAsia" w:ascii="仿宋_GB2312" w:hAnsi="仿宋_GB2312" w:eastAsia="仿宋_GB2312" w:cs="仿宋_GB2312"/>
          <w:kern w:val="0"/>
          <w:sz w:val="30"/>
          <w:szCs w:val="30"/>
        </w:rPr>
        <w:t>九、其他公开信息</w:t>
      </w:r>
    </w:p>
    <w:p w14:paraId="36D5F539">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default" w:ascii="Times New Roman" w:hAnsi="Times New Roman" w:eastAsia="黑体" w:cs="Times New Roman"/>
          <w:sz w:val="32"/>
          <w:szCs w:val="32"/>
        </w:rPr>
      </w:pPr>
      <w:r>
        <w:rPr>
          <w:rFonts w:hint="eastAsia" w:ascii="黑体" w:hAnsi="黑体" w:eastAsia="黑体"/>
          <w:sz w:val="32"/>
          <w:szCs w:val="32"/>
        </w:rPr>
        <w:t xml:space="preserve">第二部分 </w:t>
      </w:r>
      <w:r>
        <w:rPr>
          <w:rFonts w:hint="default" w:ascii="Times New Roman" w:hAnsi="Times New Roman" w:eastAsia="黑体" w:cs="Times New Roman"/>
          <w:sz w:val="32"/>
          <w:szCs w:val="32"/>
          <w:lang w:val="en-US" w:eastAsia="zh-CN"/>
        </w:rPr>
        <w:t>玉溪市重点产业服务中心202</w:t>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sz w:val="32"/>
          <w:szCs w:val="32"/>
        </w:rPr>
        <w:t>年部门预算表</w:t>
      </w:r>
    </w:p>
    <w:p w14:paraId="20F6F637">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一、</w:t>
      </w:r>
      <w:r>
        <w:rPr>
          <w:rFonts w:hint="eastAsia" w:ascii="Times New Roman" w:hAnsi="Times New Roman" w:eastAsia="仿宋_GB2312"/>
          <w:sz w:val="32"/>
          <w:szCs w:val="32"/>
          <w:lang w:eastAsia="zh-CN"/>
        </w:rPr>
        <w:t>财务收支预算总表</w:t>
      </w:r>
    </w:p>
    <w:p w14:paraId="28E4E969">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二、部门收入</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14:paraId="60874C77">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三、部门支出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14:paraId="6C2517A6">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四、财政拨款收支</w:t>
      </w:r>
      <w:r>
        <w:rPr>
          <w:rFonts w:hint="eastAsia" w:ascii="Times New Roman" w:hAnsi="Times New Roman" w:eastAsia="仿宋_GB2312"/>
          <w:sz w:val="32"/>
          <w:szCs w:val="32"/>
          <w:lang w:eastAsia="zh-CN"/>
        </w:rPr>
        <w:t>预算总</w:t>
      </w:r>
      <w:r>
        <w:rPr>
          <w:rFonts w:hint="eastAsia" w:ascii="Times New Roman" w:hAnsi="Times New Roman" w:eastAsia="仿宋_GB2312"/>
          <w:sz w:val="32"/>
          <w:szCs w:val="32"/>
        </w:rPr>
        <w:t>表</w:t>
      </w:r>
    </w:p>
    <w:p w14:paraId="03782748">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rPr>
        <w:t>五、一般公共预算支出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r>
        <w:rPr>
          <w:rFonts w:hint="eastAsia" w:ascii="Times New Roman" w:hAnsi="Times New Roman" w:eastAsia="仿宋_GB2312"/>
          <w:sz w:val="32"/>
          <w:szCs w:val="32"/>
          <w:lang w:eastAsia="zh-CN"/>
        </w:rPr>
        <w:t>（按功能科目分类）</w:t>
      </w:r>
    </w:p>
    <w:p w14:paraId="34AB2018">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六、一般公共预算“三公”经费支出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14:paraId="1034508A">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七、</w:t>
      </w:r>
      <w:r>
        <w:rPr>
          <w:rFonts w:hint="eastAsia" w:ascii="Times New Roman" w:hAnsi="Times New Roman" w:eastAsia="仿宋_GB2312"/>
          <w:sz w:val="32"/>
          <w:szCs w:val="32"/>
        </w:rPr>
        <w:t>基本支出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r>
        <w:rPr>
          <w:rFonts w:hint="eastAsia" w:ascii="Times New Roman" w:hAnsi="Times New Roman" w:eastAsia="仿宋_GB2312"/>
          <w:sz w:val="32"/>
          <w:szCs w:val="32"/>
          <w:lang w:eastAsia="zh-CN"/>
        </w:rPr>
        <w:t>（人员类、运转类公用经费项目）</w:t>
      </w:r>
    </w:p>
    <w:p w14:paraId="66EE1E6F">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八</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项目支出预算表（其他运转类、特定目标类项目）</w:t>
      </w:r>
    </w:p>
    <w:p w14:paraId="260BDC3C">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lang w:eastAsia="zh-CN"/>
        </w:rPr>
        <w:t>九</w:t>
      </w:r>
      <w:r>
        <w:rPr>
          <w:rFonts w:hint="eastAsia" w:ascii="Times New Roman" w:hAnsi="Times New Roman" w:eastAsia="仿宋_GB2312"/>
          <w:sz w:val="32"/>
          <w:szCs w:val="32"/>
        </w:rPr>
        <w:t>、项目支出绩效目标表（本</w:t>
      </w:r>
      <w:r>
        <w:rPr>
          <w:rFonts w:hint="eastAsia" w:ascii="Times New Roman" w:hAnsi="Times New Roman" w:eastAsia="仿宋_GB2312"/>
          <w:sz w:val="32"/>
          <w:szCs w:val="32"/>
          <w:lang w:eastAsia="zh-CN"/>
        </w:rPr>
        <w:t>级</w:t>
      </w:r>
      <w:r>
        <w:rPr>
          <w:rFonts w:hint="eastAsia" w:ascii="Times New Roman" w:hAnsi="Times New Roman" w:eastAsia="仿宋_GB2312"/>
          <w:sz w:val="32"/>
          <w:szCs w:val="32"/>
        </w:rPr>
        <w:t>下达）</w:t>
      </w:r>
    </w:p>
    <w:p w14:paraId="7CF4C7BF">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十</w:t>
      </w:r>
      <w:r>
        <w:rPr>
          <w:rFonts w:hint="eastAsia" w:ascii="Times New Roman" w:hAnsi="Times New Roman" w:eastAsia="仿宋_GB2312"/>
          <w:sz w:val="32"/>
          <w:szCs w:val="32"/>
        </w:rPr>
        <w:t>、项目支出绩效目标表</w:t>
      </w:r>
    </w:p>
    <w:p w14:paraId="214F9E2E">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一</w:t>
      </w:r>
      <w:r>
        <w:rPr>
          <w:rFonts w:hint="eastAsia" w:ascii="Times New Roman" w:hAnsi="Times New Roman" w:eastAsia="仿宋_GB2312"/>
          <w:sz w:val="32"/>
          <w:szCs w:val="32"/>
        </w:rPr>
        <w:t>、政府性基金预算支出</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14:paraId="2B892E3D">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二</w:t>
      </w:r>
      <w:r>
        <w:rPr>
          <w:rFonts w:hint="eastAsia" w:ascii="Times New Roman" w:hAnsi="Times New Roman" w:eastAsia="仿宋_GB2312"/>
          <w:sz w:val="32"/>
          <w:szCs w:val="32"/>
        </w:rPr>
        <w:t>、部门政府采购</w:t>
      </w:r>
      <w:r>
        <w:rPr>
          <w:rFonts w:hint="eastAsia" w:ascii="Times New Roman" w:hAnsi="Times New Roman" w:eastAsia="仿宋_GB2312"/>
          <w:sz w:val="32"/>
          <w:szCs w:val="32"/>
          <w:lang w:eastAsia="zh-CN"/>
        </w:rPr>
        <w:t>预算</w:t>
      </w:r>
      <w:r>
        <w:rPr>
          <w:rFonts w:hint="eastAsia" w:ascii="Times New Roman" w:hAnsi="Times New Roman" w:eastAsia="仿宋_GB2312"/>
          <w:sz w:val="32"/>
          <w:szCs w:val="32"/>
        </w:rPr>
        <w:t>表</w:t>
      </w:r>
    </w:p>
    <w:p w14:paraId="4742B89E">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lang w:eastAsia="zh-CN"/>
        </w:rPr>
        <w:t>十三、政府购买服务预算表</w:t>
      </w:r>
    </w:p>
    <w:p w14:paraId="1E3764E1">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四</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省对下转移支付预算表</w:t>
      </w:r>
    </w:p>
    <w:p w14:paraId="157E7BAE">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rPr>
      </w:pPr>
      <w:r>
        <w:rPr>
          <w:rFonts w:hint="eastAsia" w:ascii="Times New Roman" w:hAnsi="Times New Roman" w:eastAsia="仿宋_GB2312"/>
          <w:sz w:val="32"/>
          <w:szCs w:val="32"/>
        </w:rPr>
        <w:t>十</w:t>
      </w:r>
      <w:r>
        <w:rPr>
          <w:rFonts w:hint="eastAsia" w:ascii="Times New Roman" w:hAnsi="Times New Roman" w:eastAsia="仿宋_GB2312"/>
          <w:sz w:val="32"/>
          <w:szCs w:val="32"/>
          <w:lang w:eastAsia="zh-CN"/>
        </w:rPr>
        <w:t>五</w:t>
      </w:r>
      <w:r>
        <w:rPr>
          <w:rFonts w:hint="eastAsia" w:ascii="Times New Roman" w:hAnsi="Times New Roman" w:eastAsia="仿宋_GB2312"/>
          <w:sz w:val="32"/>
          <w:szCs w:val="32"/>
        </w:rPr>
        <w:t>、省对下转移支付绩效目标表</w:t>
      </w:r>
    </w:p>
    <w:p w14:paraId="4048284F">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十六、新增资产配置表</w:t>
      </w:r>
    </w:p>
    <w:p w14:paraId="0637C1D0">
      <w:pPr>
        <w:keepNext w:val="0"/>
        <w:keepLines w:val="0"/>
        <w:pageBreakBefore w:val="0"/>
        <w:widowControl w:val="0"/>
        <w:kinsoku/>
        <w:wordWrap/>
        <w:overflowPunct/>
        <w:topLinePunct w:val="0"/>
        <w:autoSpaceDE/>
        <w:autoSpaceDN/>
        <w:bidi w:val="0"/>
        <w:adjustRightInd/>
        <w:snapToGrid/>
        <w:spacing w:line="570" w:lineRule="exact"/>
        <w:ind w:left="0" w:leftChars="0" w:right="0" w:rightChars="0" w:firstLine="0" w:firstLineChars="0"/>
        <w:jc w:val="left"/>
        <w:textAlignment w:val="auto"/>
        <w:outlineLvl w:val="9"/>
        <w:rPr>
          <w:rFonts w:hint="eastAsia" w:ascii="Times New Roman" w:hAnsi="Times New Roman" w:eastAsia="仿宋_GB2312"/>
          <w:sz w:val="30"/>
          <w:szCs w:val="30"/>
        </w:rPr>
      </w:pPr>
    </w:p>
    <w:p w14:paraId="4C537EF4">
      <w:pPr>
        <w:keepNext w:val="0"/>
        <w:keepLines w:val="0"/>
        <w:pageBreakBefore w:val="0"/>
        <w:widowControl/>
        <w:kinsoku/>
        <w:wordWrap/>
        <w:overflowPunct/>
        <w:topLinePunct w:val="0"/>
        <w:autoSpaceDE/>
        <w:autoSpaceDN/>
        <w:bidi w:val="0"/>
        <w:adjustRightInd/>
        <w:spacing w:line="590" w:lineRule="exact"/>
        <w:jc w:val="both"/>
        <w:textAlignment w:val="auto"/>
        <w:rPr>
          <w:rFonts w:hint="default" w:ascii="Times New Roman" w:hAnsi="Times New Roman" w:eastAsia="方正小标宋简体" w:cs="Times New Roman"/>
          <w:kern w:val="0"/>
          <w:sz w:val="44"/>
          <w:szCs w:val="44"/>
          <w:lang w:val="en-US" w:eastAsia="zh-CN"/>
        </w:rPr>
        <w:sectPr>
          <w:headerReference r:id="rId3" w:type="default"/>
          <w:footerReference r:id="rId5" w:type="default"/>
          <w:headerReference r:id="rId4" w:type="even"/>
          <w:pgSz w:w="11906" w:h="16838"/>
          <w:pgMar w:top="2098" w:right="1474" w:bottom="1984" w:left="1587" w:header="851" w:footer="992" w:gutter="0"/>
          <w:cols w:space="720" w:num="1"/>
          <w:docGrid w:type="lines" w:linePitch="312" w:charSpace="0"/>
        </w:sectPr>
      </w:pPr>
    </w:p>
    <w:p w14:paraId="5392C128">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玉溪市重点产业服务中心</w:t>
      </w:r>
    </w:p>
    <w:p w14:paraId="3AFA6E85">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lang w:val="en-US" w:eastAsia="zh-CN"/>
        </w:rPr>
        <w:t>2026</w:t>
      </w:r>
      <w:r>
        <w:rPr>
          <w:rFonts w:hint="default" w:ascii="Times New Roman" w:hAnsi="Times New Roman" w:eastAsia="方正小标宋_GBK" w:cs="Times New Roman"/>
          <w:sz w:val="44"/>
          <w:szCs w:val="44"/>
        </w:rPr>
        <w:t>年部门预算编制说明</w:t>
      </w:r>
    </w:p>
    <w:p w14:paraId="3E2D30F4">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p w14:paraId="2C055AB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一、基本职能及主要工作</w:t>
      </w:r>
    </w:p>
    <w:p w14:paraId="22D0851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（一）部门主要职责</w:t>
      </w:r>
    </w:p>
    <w:p w14:paraId="3F63A89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认真贯彻执行国家、省、市关于工业产业发展的法律法规和方针政策，服务非烟绿色制造业、绿色矿业、绿色能源等产业高质量发展；调研分析产业发展现状，参与编制产业发展规划，研究提出推动产业发展的有关建议，协同产业主管部门推动规划落实、政策宣传与效果跟踪；做好招商及项目推进要素保障，为企业提供政策咨询、项目申报、要素保障、融资及人才技术等服务；参与研究全市工业产业高质量发展的新技术、新模式、新业态，提出结构调整、产业融合、创新发展等方面的意见和建议；做好产学研协同平台搭建，科技成果转化与创新载体建设服务保障工作；完成市委、市政府交办的其他工作任务。</w:t>
      </w:r>
    </w:p>
    <w:p w14:paraId="136948E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（二）机构设置情况</w:t>
      </w:r>
    </w:p>
    <w:p w14:paraId="5149F2D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我部门</w:t>
      </w:r>
      <w:r>
        <w:rPr>
          <w:rFonts w:hint="default" w:ascii="Times New Roman" w:hAnsi="Times New Roman" w:eastAsia="方正仿宋_GBK" w:cs="Times New Roman"/>
          <w:sz w:val="32"/>
          <w:szCs w:val="32"/>
          <w:lang w:val="en-US" w:eastAsia="zh-CN"/>
        </w:rPr>
        <w:t>共设置5个内设机构，包括：综合科、产业服务一科、产业服务二科、产业服务三科、产业服务四科。</w:t>
      </w:r>
    </w:p>
    <w:p w14:paraId="4A9EF98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color w:val="558ED5" w:themeColor="text2" w:themeTint="99"/>
          <w:sz w:val="32"/>
          <w:szCs w:val="32"/>
          <w:lang w:val="en-US" w:eastAsia="zh-CN"/>
          <w14:textFill>
            <w14:solidFill>
              <w14:schemeClr w14:val="tx2">
                <w14:lumMod w14:val="60000"/>
                <w14:lumOff w14:val="40000"/>
              </w14:schemeClr>
            </w14:solidFill>
          </w14:textFill>
        </w:rPr>
      </w:pPr>
      <w:r>
        <w:rPr>
          <w:rFonts w:hint="default" w:ascii="Times New Roman" w:hAnsi="Times New Roman" w:eastAsia="方正仿宋_GBK" w:cs="Times New Roman"/>
          <w:sz w:val="32"/>
          <w:szCs w:val="32"/>
          <w:lang w:val="en-US" w:eastAsia="zh-CN"/>
        </w:rPr>
        <w:t>所属单位0个。</w:t>
      </w:r>
    </w:p>
    <w:p w14:paraId="0161F8D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（三）</w:t>
      </w:r>
      <w:r>
        <w:rPr>
          <w:rFonts w:hint="default" w:ascii="方正楷体_GBK" w:hAnsi="方正楷体_GBK" w:eastAsia="方正楷体_GBK" w:cs="方正楷体_GBK"/>
          <w:sz w:val="32"/>
          <w:szCs w:val="32"/>
        </w:rPr>
        <w:t>重点工作概述</w:t>
      </w:r>
    </w:p>
    <w:p w14:paraId="649DA1C4">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1.充分融入全市工业经济高质量发展工作。</w:t>
      </w:r>
      <w:r>
        <w:rPr>
          <w:rFonts w:hint="default" w:ascii="Times New Roman" w:hAnsi="Times New Roman" w:eastAsia="方正仿宋_GBK" w:cs="Times New Roman"/>
          <w:color w:val="auto"/>
          <w:sz w:val="32"/>
          <w:szCs w:val="32"/>
          <w:lang w:val="en-US" w:eastAsia="zh-CN"/>
        </w:rPr>
        <w:t>按照《玉溪市工业经济高质量发展行动方案》以及市政府领导工作要求，做好全</w:t>
      </w:r>
      <w:bookmarkStart w:id="0" w:name="_GoBack"/>
      <w:bookmarkEnd w:id="0"/>
      <w:r>
        <w:rPr>
          <w:rFonts w:hint="default" w:ascii="Times New Roman" w:hAnsi="Times New Roman" w:eastAsia="方正仿宋_GBK" w:cs="Times New Roman"/>
          <w:color w:val="auto"/>
          <w:sz w:val="32"/>
          <w:szCs w:val="32"/>
          <w:lang w:val="en-US" w:eastAsia="zh-CN"/>
        </w:rPr>
        <w:t>市工业经济高质量发展服务工作，围绕中心党组明确的《中共玉溪市重点产业服务中心党组关于班子成员服务全市工业经济高质量发展分工方案》，服务好产业园区、重点产业、新增长点项目、重大项目，全面融入玉溪市工业经济高质量发展工作专班，完成交办的各项工作任务。</w:t>
      </w:r>
    </w:p>
    <w:p w14:paraId="5CCFF6D1">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b/>
          <w:bCs/>
          <w:color w:val="auto"/>
          <w:sz w:val="32"/>
          <w:szCs w:val="32"/>
          <w:lang w:val="en-US" w:eastAsia="zh-CN"/>
        </w:rPr>
        <w:t>2.加强对重点企业和项目的服务保障工作。</w:t>
      </w:r>
      <w:r>
        <w:rPr>
          <w:rFonts w:hint="default" w:ascii="Times New Roman" w:hAnsi="Times New Roman" w:eastAsia="方正仿宋_GBK" w:cs="Times New Roman"/>
          <w:color w:val="auto"/>
          <w:sz w:val="32"/>
          <w:szCs w:val="32"/>
          <w:lang w:val="en-US" w:eastAsia="zh-CN"/>
        </w:rPr>
        <w:t>加强与企业、县（市、区）、高新区及行业主管部门对接联络，充分掌握各产业园区可用土地、闲置厂房等保障要素情况，将中心工作重点立足于项目推进及招商引资，形成跨区域、跨部门的工作合力，协调解决产业发展和推进过程中的重大问题，共同推进产业招商、要素保障、审批协调、跟踪服务、项目落地等工作，全过程、全方位、全天候为项目提供要素保障服务，为重点产业做好招商引资工作提供有力支撑。按照《2025年</w:t>
      </w:r>
      <w:r>
        <w:rPr>
          <w:rFonts w:hint="eastAsia"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2029年新增长点项目统计表》明确的项目负责人以及《市政府领导挂包联系重点工业项目清单》明确的重点产业服务中心责任领导、责任人，按要求做好具体项目的分析调度以及困难问题的服务保障工作，确保相关项目按时按期、按质按量完成。</w:t>
      </w:r>
    </w:p>
    <w:p w14:paraId="7B27CE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二、预算单位基本情况</w:t>
      </w:r>
    </w:p>
    <w:p w14:paraId="77E6E27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我部门</w:t>
      </w:r>
      <w:r>
        <w:rPr>
          <w:rFonts w:hint="default" w:ascii="Times New Roman" w:hAnsi="Times New Roman" w:eastAsia="方正仿宋_GBK" w:cs="Times New Roman"/>
          <w:sz w:val="32"/>
          <w:szCs w:val="32"/>
        </w:rPr>
        <w:t>编制</w:t>
      </w:r>
      <w:r>
        <w:rPr>
          <w:rFonts w:hint="default"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rPr>
        <w:t>年部门预算单位共</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个。其中：财政全额供给单位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个；差额供给单位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个；定额补助单位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个；自收自支单位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个。财政全额供给单位中行政单位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个；参公单位</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个；事业单位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个。截止</w:t>
      </w:r>
      <w:r>
        <w:rPr>
          <w:rFonts w:hint="default" w:ascii="Times New Roman" w:hAnsi="Times New Roman" w:eastAsia="方正仿宋_GBK" w:cs="Times New Roman"/>
          <w:sz w:val="32"/>
          <w:szCs w:val="32"/>
          <w:lang w:val="en-US" w:eastAsia="zh-CN"/>
        </w:rPr>
        <w:t>2025</w:t>
      </w:r>
      <w:r>
        <w:rPr>
          <w:rFonts w:hint="default" w:ascii="Times New Roman" w:hAnsi="Times New Roman" w:eastAsia="方正仿宋_GBK" w:cs="Times New Roman"/>
          <w:sz w:val="32"/>
          <w:szCs w:val="32"/>
        </w:rPr>
        <w:t>年12月统计，部门基本情况如下：</w:t>
      </w:r>
    </w:p>
    <w:p w14:paraId="1B86C79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在职人员编制</w:t>
      </w: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人，其中：行政编制</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w:t>
      </w:r>
      <w:r>
        <w:rPr>
          <w:rFonts w:hint="default" w:ascii="Times New Roman" w:hAnsi="Times New Roman" w:eastAsia="方正仿宋_GBK" w:cs="Times New Roman"/>
          <w:sz w:val="32"/>
          <w:szCs w:val="32"/>
          <w:lang w:eastAsia="zh-CN"/>
        </w:rPr>
        <w:t>工勤人员编制</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事业编制</w:t>
      </w: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人。在职实有</w:t>
      </w:r>
      <w:r>
        <w:rPr>
          <w:rFonts w:hint="default" w:ascii="Times New Roman" w:hAnsi="Times New Roman" w:eastAsia="方正仿宋_GBK" w:cs="Times New Roman"/>
          <w:sz w:val="32"/>
          <w:szCs w:val="32"/>
          <w:lang w:val="en-US" w:eastAsia="zh-CN"/>
        </w:rPr>
        <w:t>23</w:t>
      </w:r>
      <w:r>
        <w:rPr>
          <w:rFonts w:hint="default" w:ascii="Times New Roman" w:hAnsi="Times New Roman" w:eastAsia="方正仿宋_GBK" w:cs="Times New Roman"/>
          <w:sz w:val="32"/>
          <w:szCs w:val="32"/>
        </w:rPr>
        <w:t>人，其中：财政全额保障</w:t>
      </w:r>
      <w:r>
        <w:rPr>
          <w:rFonts w:hint="default" w:ascii="Times New Roman" w:hAnsi="Times New Roman" w:eastAsia="方正仿宋_GBK" w:cs="Times New Roman"/>
          <w:sz w:val="32"/>
          <w:szCs w:val="32"/>
          <w:lang w:val="en-US" w:eastAsia="zh-CN"/>
        </w:rPr>
        <w:t>23</w:t>
      </w:r>
      <w:r>
        <w:rPr>
          <w:rFonts w:hint="default" w:ascii="Times New Roman" w:hAnsi="Times New Roman" w:eastAsia="方正仿宋_GBK" w:cs="Times New Roman"/>
          <w:sz w:val="32"/>
          <w:szCs w:val="32"/>
        </w:rPr>
        <w:t>人，财政差额补助</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人，财政专户资金、单位资金保障</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w:t>
      </w:r>
    </w:p>
    <w:p w14:paraId="05D63C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离退休人员</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w:t>
      </w:r>
    </w:p>
    <w:p w14:paraId="3B9D822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车辆编制</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辆，实有车辆</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辆，超编</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辆。</w:t>
      </w:r>
    </w:p>
    <w:p w14:paraId="061BE5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三、预算单位收入情况</w:t>
      </w:r>
    </w:p>
    <w:p w14:paraId="4B23B40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（一）部门财务收入情况</w:t>
      </w:r>
    </w:p>
    <w:p w14:paraId="0244368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rPr>
        <w:t>年部门财务总收入</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万元，其中：一般公共预算</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万元，政府性基金</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万元，国有资本经营收益</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财政专户管理资金收入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事业收入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万元，事业单位经营收入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万元，上级补助收入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万元，附属单位上缴收入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万元，其他收入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w:t>
      </w:r>
    </w:p>
    <w:p w14:paraId="3F225AC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与上年对比</w:t>
      </w:r>
      <w:r>
        <w:rPr>
          <w:rFonts w:hint="default" w:ascii="Times New Roman" w:hAnsi="Times New Roman" w:eastAsia="方正仿宋_GBK" w:cs="Times New Roman"/>
          <w:sz w:val="32"/>
          <w:szCs w:val="32"/>
          <w:lang w:val="en-US" w:eastAsia="zh-CN"/>
        </w:rPr>
        <w:t>减少9,260.67万元</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减少94.43%。</w:t>
      </w:r>
      <w:r>
        <w:rPr>
          <w:rFonts w:hint="default" w:ascii="Times New Roman" w:hAnsi="Times New Roman" w:eastAsia="方正仿宋_GBK" w:cs="Times New Roman"/>
          <w:sz w:val="32"/>
          <w:szCs w:val="32"/>
        </w:rPr>
        <w:t>主要原因</w:t>
      </w:r>
      <w:r>
        <w:rPr>
          <w:rFonts w:hint="default" w:ascii="Times New Roman" w:hAnsi="Times New Roman" w:eastAsia="方正仿宋_GBK" w:cs="Times New Roman"/>
          <w:sz w:val="32"/>
          <w:szCs w:val="32"/>
          <w:lang w:val="en-US" w:eastAsia="zh-CN"/>
        </w:rPr>
        <w:t>是市制造业全产业链专班撤销，政府性基金预算拨款收入减少500万元；2026年无县乡村组烤烟生产组织奖励经费预算，政府性基金预算拨款收入减少500万元；涉及烟草产业项目资金2025年结转8,402.02万元，2026年预算中无涉烟项目结转经费。</w:t>
      </w:r>
    </w:p>
    <w:p w14:paraId="20925A5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（二）财政拨款收入情况</w:t>
      </w:r>
    </w:p>
    <w:p w14:paraId="39D321C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2026</w:t>
      </w:r>
      <w:r>
        <w:rPr>
          <w:rFonts w:hint="default" w:ascii="Times New Roman" w:hAnsi="Times New Roman" w:eastAsia="方正仿宋_GBK" w:cs="Times New Roman"/>
          <w:sz w:val="32"/>
          <w:szCs w:val="32"/>
        </w:rPr>
        <w:t>年部门财政拨款收入</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万元，其中</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本年收入</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万元，上年结转收入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万元。本年收入中，一般公共预算财政拨款</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万元，政府性基金预算财政拨款</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万元，国有资本经营收益财政拨款</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w:t>
      </w:r>
    </w:p>
    <w:p w14:paraId="44709F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与上年对比</w:t>
      </w:r>
      <w:r>
        <w:rPr>
          <w:rFonts w:hint="default" w:ascii="Times New Roman" w:hAnsi="Times New Roman" w:eastAsia="方正仿宋_GBK" w:cs="Times New Roman"/>
          <w:sz w:val="32"/>
          <w:szCs w:val="32"/>
          <w:lang w:val="en-US" w:eastAsia="zh-CN"/>
        </w:rPr>
        <w:t>减少9,260.67万元</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减少94.43%。</w:t>
      </w:r>
      <w:r>
        <w:rPr>
          <w:rFonts w:hint="default" w:ascii="Times New Roman" w:hAnsi="Times New Roman" w:eastAsia="方正仿宋_GBK" w:cs="Times New Roman"/>
          <w:sz w:val="32"/>
          <w:szCs w:val="32"/>
        </w:rPr>
        <w:t>主要原因</w:t>
      </w:r>
      <w:r>
        <w:rPr>
          <w:rFonts w:hint="default" w:ascii="Times New Roman" w:hAnsi="Times New Roman" w:eastAsia="方正仿宋_GBK" w:cs="Times New Roman"/>
          <w:sz w:val="32"/>
          <w:szCs w:val="32"/>
          <w:lang w:val="en-US" w:eastAsia="zh-CN"/>
        </w:rPr>
        <w:t>是市制造业全产业链专班撤销，政府性基金预算拨款收入减少500万元；2026年无县乡村组烤烟生产组织奖励经费预算，政府性基金预算拨款收入减少500万元；涉及烟草产业项目资金2025年结转8,402.02万元，2026年预算中无涉烟项目结转经费。</w:t>
      </w:r>
    </w:p>
    <w:p w14:paraId="04F9583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四、</w:t>
      </w:r>
      <w:r>
        <w:rPr>
          <w:rFonts w:hint="default" w:ascii="方正黑体_GBK" w:hAnsi="方正黑体_GBK" w:eastAsia="方正黑体_GBK" w:cs="方正黑体_GBK"/>
          <w:sz w:val="32"/>
          <w:szCs w:val="32"/>
        </w:rPr>
        <w:t>预算单位支出情况</w:t>
      </w:r>
    </w:p>
    <w:p w14:paraId="56E7E2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rPr>
      </w:pPr>
      <w:r>
        <w:rPr>
          <w:rFonts w:hint="default" w:ascii="Times New Roman" w:hAnsi="Times New Roman" w:eastAsia="方正仿宋_GBK" w:cs="Times New Roman"/>
          <w:sz w:val="32"/>
          <w:szCs w:val="32"/>
          <w:lang w:val="en-US" w:eastAsia="zh-CN"/>
        </w:rPr>
        <w:t>2025</w:t>
      </w:r>
      <w:r>
        <w:rPr>
          <w:rFonts w:hint="default" w:ascii="Times New Roman" w:hAnsi="Times New Roman" w:eastAsia="方正仿宋_GBK" w:cs="Times New Roman"/>
          <w:sz w:val="32"/>
          <w:szCs w:val="32"/>
        </w:rPr>
        <w:t>年部门预算总支出</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万元。财政拨款安排支出</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万元，其中：基本支出</w:t>
      </w:r>
      <w:r>
        <w:rPr>
          <w:rFonts w:hint="default" w:ascii="Times New Roman" w:hAnsi="Times New Roman" w:eastAsia="方正仿宋_GBK" w:cs="Times New Roman"/>
          <w:sz w:val="32"/>
          <w:szCs w:val="32"/>
          <w:lang w:val="en-US" w:eastAsia="zh-CN"/>
        </w:rPr>
        <w:t>545.81</w:t>
      </w:r>
      <w:r>
        <w:rPr>
          <w:rFonts w:hint="default" w:ascii="Times New Roman" w:hAnsi="Times New Roman" w:eastAsia="方正仿宋_GBK" w:cs="Times New Roman"/>
          <w:sz w:val="32"/>
          <w:szCs w:val="32"/>
        </w:rPr>
        <w:t>万元，与上年对比</w:t>
      </w:r>
      <w:r>
        <w:rPr>
          <w:rFonts w:hint="default" w:ascii="Times New Roman" w:hAnsi="Times New Roman" w:eastAsia="方正仿宋_GBK" w:cs="Times New Roman"/>
          <w:sz w:val="32"/>
          <w:szCs w:val="32"/>
          <w:lang w:val="en-US" w:eastAsia="zh-CN"/>
        </w:rPr>
        <w:t>增加141.35万元。</w:t>
      </w:r>
      <w:r>
        <w:rPr>
          <w:rFonts w:hint="default" w:ascii="Times New Roman" w:hAnsi="Times New Roman" w:eastAsia="方正仿宋_GBK" w:cs="Times New Roman"/>
          <w:sz w:val="32"/>
          <w:szCs w:val="32"/>
        </w:rPr>
        <w:t>主要原因</w:t>
      </w:r>
      <w:r>
        <w:rPr>
          <w:rFonts w:hint="default" w:ascii="Times New Roman" w:hAnsi="Times New Roman" w:eastAsia="方正仿宋_GBK" w:cs="Times New Roman"/>
          <w:sz w:val="32"/>
          <w:szCs w:val="32"/>
          <w:lang w:val="en-US" w:eastAsia="zh-CN"/>
        </w:rPr>
        <w:t>是本单位人员增加、人员薪资及社保公积金预算支出增加，新增物业管理费预算及重点产业项目服务工作经费</w:t>
      </w:r>
      <w:r>
        <w:rPr>
          <w:rFonts w:hint="default" w:ascii="Times New Roman" w:hAnsi="Times New Roman" w:eastAsia="方正仿宋_GBK" w:cs="Times New Roman"/>
          <w:sz w:val="32"/>
          <w:szCs w:val="32"/>
        </w:rPr>
        <w:t>；项目支出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万元，与上年对比</w:t>
      </w:r>
      <w:r>
        <w:rPr>
          <w:rFonts w:hint="default" w:ascii="Times New Roman" w:hAnsi="Times New Roman" w:eastAsia="方正仿宋_GBK" w:cs="Times New Roman"/>
          <w:sz w:val="32"/>
          <w:szCs w:val="32"/>
          <w:lang w:val="en-US" w:eastAsia="zh-CN"/>
        </w:rPr>
        <w:t>减少1,000万元</w:t>
      </w:r>
      <w:r>
        <w:rPr>
          <w:rFonts w:hint="default" w:ascii="Times New Roman" w:hAnsi="Times New Roman" w:eastAsia="方正仿宋_GBK" w:cs="Times New Roman"/>
          <w:sz w:val="32"/>
          <w:szCs w:val="32"/>
        </w:rPr>
        <w:t>，主要</w:t>
      </w:r>
      <w:r>
        <w:rPr>
          <w:rFonts w:hint="default" w:ascii="Times New Roman" w:hAnsi="Times New Roman" w:eastAsia="方正仿宋_GBK" w:cs="Times New Roman"/>
          <w:sz w:val="32"/>
          <w:szCs w:val="32"/>
          <w:lang w:eastAsia="zh-CN"/>
        </w:rPr>
        <w:t>原因</w:t>
      </w:r>
      <w:r>
        <w:rPr>
          <w:rFonts w:hint="default" w:ascii="Times New Roman" w:hAnsi="Times New Roman" w:eastAsia="方正仿宋_GBK" w:cs="Times New Roman"/>
          <w:sz w:val="32"/>
          <w:szCs w:val="32"/>
          <w:lang w:val="en-US" w:eastAsia="zh-CN"/>
        </w:rPr>
        <w:t>是2025年5月，原市制造业全产业链专班撤销，不再安排此项目预算</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2026年未安排县乡村组烤烟生产组织奖励经费。</w:t>
      </w:r>
    </w:p>
    <w:p w14:paraId="0A99033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财政拨款安排支出按功能科目分类情况，主要用于</w:t>
      </w:r>
      <w:r>
        <w:rPr>
          <w:rFonts w:hint="default" w:ascii="Times New Roman" w:hAnsi="Times New Roman" w:eastAsia="方正仿宋_GBK" w:cs="Times New Roman"/>
          <w:sz w:val="32"/>
          <w:szCs w:val="32"/>
          <w:lang w:eastAsia="zh-CN"/>
        </w:rPr>
        <w:t>：</w:t>
      </w:r>
    </w:p>
    <w:p w14:paraId="5D067E7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一般公共服务支出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政府办公厅（室）及相关机构事务</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事业运行（2010350）</w:t>
      </w:r>
      <w:r>
        <w:rPr>
          <w:rFonts w:hint="default" w:ascii="Times New Roman" w:hAnsi="Times New Roman" w:eastAsia="方正仿宋_GBK" w:cs="Times New Roman"/>
          <w:sz w:val="32"/>
          <w:szCs w:val="32"/>
          <w:lang w:val="en-US" w:eastAsia="zh-CN"/>
        </w:rPr>
        <w:t>425.12万</w:t>
      </w:r>
      <w:r>
        <w:rPr>
          <w:rFonts w:hint="default" w:ascii="Times New Roman" w:hAnsi="Times New Roman" w:eastAsia="方正仿宋_GBK" w:cs="Times New Roman"/>
          <w:sz w:val="32"/>
          <w:szCs w:val="32"/>
          <w:lang w:eastAsia="zh-CN"/>
        </w:rPr>
        <w:t>元，主要用于事业人员经费、日常公用经费支出，人员经费用于人员工资福利支出，日常公用经费用于保障单位正常工作运转。</w:t>
      </w:r>
    </w:p>
    <w:p w14:paraId="06AC3B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社会保障和就业支出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行政事业单位养老支出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机关事业单位基本养老保险缴费支出（2080505）</w:t>
      </w:r>
      <w:r>
        <w:rPr>
          <w:rFonts w:hint="default" w:ascii="Times New Roman" w:hAnsi="Times New Roman" w:eastAsia="方正仿宋_GBK" w:cs="Times New Roman"/>
          <w:sz w:val="32"/>
          <w:szCs w:val="32"/>
          <w:lang w:val="en-US" w:eastAsia="zh-CN"/>
        </w:rPr>
        <w:t>43.10万元</w:t>
      </w:r>
      <w:r>
        <w:rPr>
          <w:rFonts w:hint="default" w:ascii="Times New Roman" w:hAnsi="Times New Roman" w:eastAsia="方正仿宋_GBK" w:cs="Times New Roman"/>
          <w:sz w:val="32"/>
          <w:szCs w:val="32"/>
          <w:lang w:eastAsia="zh-CN"/>
        </w:rPr>
        <w:t>，主要用于在职人员基本养老保险缴交。</w:t>
      </w:r>
    </w:p>
    <w:p w14:paraId="711452C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卫生健康支出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行政事业单位医疗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事业单位医疗（2101102）</w:t>
      </w:r>
      <w:r>
        <w:rPr>
          <w:rFonts w:hint="default" w:ascii="Times New Roman" w:hAnsi="Times New Roman" w:eastAsia="方正仿宋_GBK" w:cs="Times New Roman"/>
          <w:sz w:val="32"/>
          <w:szCs w:val="32"/>
          <w:lang w:val="en-US" w:eastAsia="zh-CN"/>
        </w:rPr>
        <w:t>22.36万</w:t>
      </w:r>
      <w:r>
        <w:rPr>
          <w:rFonts w:hint="default" w:ascii="Times New Roman" w:hAnsi="Times New Roman" w:eastAsia="方正仿宋_GBK" w:cs="Times New Roman"/>
          <w:sz w:val="32"/>
          <w:szCs w:val="32"/>
          <w:lang w:eastAsia="zh-CN"/>
        </w:rPr>
        <w:t>元，主要用于在职事业人员基本医疗保险缴交。</w:t>
      </w:r>
    </w:p>
    <w:p w14:paraId="27D4FF7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卫生健康支出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行政事业单位医疗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公务员医疗补助（2101103）</w:t>
      </w:r>
      <w:r>
        <w:rPr>
          <w:rFonts w:hint="default" w:ascii="Times New Roman" w:hAnsi="Times New Roman" w:eastAsia="方正仿宋_GBK" w:cs="Times New Roman"/>
          <w:sz w:val="32"/>
          <w:szCs w:val="32"/>
          <w:lang w:val="en-US" w:eastAsia="zh-CN"/>
        </w:rPr>
        <w:t>13.47万</w:t>
      </w:r>
      <w:r>
        <w:rPr>
          <w:rFonts w:hint="default" w:ascii="Times New Roman" w:hAnsi="Times New Roman" w:eastAsia="方正仿宋_GBK" w:cs="Times New Roman"/>
          <w:sz w:val="32"/>
          <w:szCs w:val="32"/>
          <w:lang w:eastAsia="zh-CN"/>
        </w:rPr>
        <w:t>元，主要用于在职人员公务员医疗补助缴交。</w:t>
      </w:r>
    </w:p>
    <w:p w14:paraId="46C3BDF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卫生健康支出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行政事业单位医疗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其他行政事业单位医疗支出（2101199）</w:t>
      </w:r>
      <w:r>
        <w:rPr>
          <w:rFonts w:hint="default" w:ascii="Times New Roman" w:hAnsi="Times New Roman" w:eastAsia="方正仿宋_GBK" w:cs="Times New Roman"/>
          <w:sz w:val="32"/>
          <w:szCs w:val="32"/>
          <w:lang w:val="en-US" w:eastAsia="zh-CN"/>
        </w:rPr>
        <w:t>2.00万</w:t>
      </w:r>
      <w:r>
        <w:rPr>
          <w:rFonts w:hint="default" w:ascii="Times New Roman" w:hAnsi="Times New Roman" w:eastAsia="方正仿宋_GBK" w:cs="Times New Roman"/>
          <w:sz w:val="32"/>
          <w:szCs w:val="32"/>
          <w:lang w:eastAsia="zh-CN"/>
        </w:rPr>
        <w:t>元，主要用于在职人员大病医疗补助缴交。</w:t>
      </w:r>
    </w:p>
    <w:p w14:paraId="50997EF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住房保障支出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住房改革支出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住房公积金（2210201）</w:t>
      </w:r>
      <w:r>
        <w:rPr>
          <w:rFonts w:hint="default" w:ascii="Times New Roman" w:hAnsi="Times New Roman" w:eastAsia="方正仿宋_GBK" w:cs="Times New Roman"/>
          <w:sz w:val="32"/>
          <w:szCs w:val="32"/>
          <w:lang w:val="en-US" w:eastAsia="zh-CN"/>
        </w:rPr>
        <w:t>36.36万</w:t>
      </w:r>
      <w:r>
        <w:rPr>
          <w:rFonts w:hint="default" w:ascii="Times New Roman" w:hAnsi="Times New Roman" w:eastAsia="方正仿宋_GBK" w:cs="Times New Roman"/>
          <w:sz w:val="32"/>
          <w:szCs w:val="32"/>
          <w:lang w:eastAsia="zh-CN"/>
        </w:rPr>
        <w:t>元，主要用于在职人员住房公积金缴交。</w:t>
      </w:r>
    </w:p>
    <w:p w14:paraId="6A78F9F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住房保障支出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住房改革支出</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eastAsia="zh-CN"/>
        </w:rPr>
        <w:t>住房补贴（2210203）</w:t>
      </w:r>
      <w:r>
        <w:rPr>
          <w:rFonts w:hint="default" w:ascii="Times New Roman" w:hAnsi="Times New Roman" w:eastAsia="方正仿宋_GBK" w:cs="Times New Roman"/>
          <w:sz w:val="32"/>
          <w:szCs w:val="32"/>
          <w:lang w:val="en-US" w:eastAsia="zh-CN"/>
        </w:rPr>
        <w:t>3.40万</w:t>
      </w:r>
      <w:r>
        <w:rPr>
          <w:rFonts w:hint="default" w:ascii="Times New Roman" w:hAnsi="Times New Roman" w:eastAsia="方正仿宋_GBK" w:cs="Times New Roman"/>
          <w:sz w:val="32"/>
          <w:szCs w:val="32"/>
          <w:lang w:eastAsia="zh-CN"/>
        </w:rPr>
        <w:t>元，主要用于在职人员住房补贴</w:t>
      </w:r>
    </w:p>
    <w:p w14:paraId="13A995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五、</w:t>
      </w:r>
      <w:r>
        <w:rPr>
          <w:rFonts w:hint="default" w:ascii="方正黑体_GBK" w:hAnsi="方正黑体_GBK" w:eastAsia="方正黑体_GBK" w:cs="方正黑体_GBK"/>
          <w:sz w:val="32"/>
          <w:szCs w:val="32"/>
        </w:rPr>
        <w:t>省对下专项转移支付情况</w:t>
      </w:r>
    </w:p>
    <w:p w14:paraId="0080A22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本单位无省对下转移支付预算支出。</w:t>
      </w:r>
    </w:p>
    <w:p w14:paraId="7DDF60A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六、</w:t>
      </w:r>
      <w:r>
        <w:rPr>
          <w:rFonts w:hint="default" w:ascii="方正黑体_GBK" w:hAnsi="方正黑体_GBK" w:eastAsia="方正黑体_GBK" w:cs="方正黑体_GBK"/>
          <w:sz w:val="32"/>
          <w:szCs w:val="32"/>
        </w:rPr>
        <w:t>政府采购预算情况</w:t>
      </w:r>
    </w:p>
    <w:p w14:paraId="77BEE71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根据《中华人民共和国政府采购法》的有关规定，编制了政府采购预算，共涉及采购项目</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个，政府采购预算总额</w:t>
      </w:r>
      <w:r>
        <w:rPr>
          <w:rFonts w:hint="default" w:ascii="Times New Roman" w:hAnsi="Times New Roman" w:eastAsia="方正仿宋_GBK" w:cs="Times New Roman"/>
          <w:sz w:val="32"/>
          <w:szCs w:val="32"/>
          <w:lang w:val="en-US" w:eastAsia="zh-CN"/>
        </w:rPr>
        <w:t>0.00</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，其中：政府采购货物预算</w:t>
      </w:r>
      <w:r>
        <w:rPr>
          <w:rFonts w:hint="default" w:ascii="Times New Roman" w:hAnsi="Times New Roman" w:eastAsia="方正仿宋_GBK" w:cs="Times New Roman"/>
          <w:sz w:val="32"/>
          <w:szCs w:val="32"/>
          <w:lang w:val="en-US" w:eastAsia="zh-CN"/>
        </w:rPr>
        <w:t>0.00</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、政府采购服务预算</w:t>
      </w:r>
      <w:r>
        <w:rPr>
          <w:rFonts w:hint="default" w:ascii="Times New Roman" w:hAnsi="Times New Roman" w:eastAsia="方正仿宋_GBK" w:cs="Times New Roman"/>
          <w:sz w:val="32"/>
          <w:szCs w:val="32"/>
          <w:lang w:val="en-US" w:eastAsia="zh-CN"/>
        </w:rPr>
        <w:t>0.00</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、政府采购工程预算</w:t>
      </w:r>
      <w:r>
        <w:rPr>
          <w:rFonts w:hint="default" w:ascii="Times New Roman" w:hAnsi="Times New Roman" w:eastAsia="方正仿宋_GBK" w:cs="Times New Roman"/>
          <w:sz w:val="32"/>
          <w:szCs w:val="32"/>
          <w:lang w:val="en-US" w:eastAsia="zh-CN"/>
        </w:rPr>
        <w:t>0.00</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w:t>
      </w:r>
    </w:p>
    <w:p w14:paraId="6E263B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七、</w:t>
      </w:r>
      <w:r>
        <w:rPr>
          <w:rFonts w:hint="default" w:ascii="方正黑体_GBK" w:hAnsi="方正黑体_GBK" w:eastAsia="方正黑体_GBK" w:cs="方正黑体_GBK"/>
          <w:sz w:val="32"/>
          <w:szCs w:val="32"/>
        </w:rPr>
        <w:t>部门</w:t>
      </w:r>
      <w:r>
        <w:rPr>
          <w:rFonts w:hint="eastAsia" w:ascii="方正黑体_GBK" w:hAnsi="方正黑体_GBK" w:eastAsia="方正黑体_GBK" w:cs="方正黑体_GBK"/>
          <w:sz w:val="32"/>
          <w:szCs w:val="32"/>
          <w:lang w:eastAsia="zh-CN"/>
        </w:rPr>
        <w:t>“</w:t>
      </w:r>
      <w:r>
        <w:rPr>
          <w:rFonts w:hint="default" w:ascii="方正黑体_GBK" w:hAnsi="方正黑体_GBK" w:eastAsia="方正黑体_GBK" w:cs="方正黑体_GBK"/>
          <w:sz w:val="32"/>
          <w:szCs w:val="32"/>
        </w:rPr>
        <w:t>三公</w:t>
      </w:r>
      <w:r>
        <w:rPr>
          <w:rFonts w:hint="eastAsia" w:ascii="方正黑体_GBK" w:hAnsi="方正黑体_GBK" w:eastAsia="方正黑体_GBK" w:cs="方正黑体_GBK"/>
          <w:sz w:val="32"/>
          <w:szCs w:val="32"/>
          <w:lang w:eastAsia="zh-CN"/>
        </w:rPr>
        <w:t>”</w:t>
      </w:r>
      <w:r>
        <w:rPr>
          <w:rFonts w:hint="default" w:ascii="方正黑体_GBK" w:hAnsi="方正黑体_GBK" w:eastAsia="方正黑体_GBK" w:cs="方正黑体_GBK"/>
          <w:sz w:val="32"/>
          <w:szCs w:val="32"/>
        </w:rPr>
        <w:t>经费增减变化情况及原因说明</w:t>
      </w:r>
    </w:p>
    <w:p w14:paraId="33B6D7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玉溪市重点产业服务中心2026</w:t>
      </w:r>
      <w:r>
        <w:rPr>
          <w:rFonts w:hint="default" w:ascii="Times New Roman" w:hAnsi="Times New Roman" w:eastAsia="方正仿宋_GBK" w:cs="Times New Roman"/>
          <w:sz w:val="32"/>
          <w:szCs w:val="32"/>
        </w:rPr>
        <w:t>年一般公共预算财政拨款</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三公</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经费预算合计</w:t>
      </w:r>
      <w:r>
        <w:rPr>
          <w:rFonts w:hint="default" w:ascii="Times New Roman" w:hAnsi="Times New Roman" w:eastAsia="方正仿宋_GBK" w:cs="Times New Roman"/>
          <w:sz w:val="32"/>
          <w:szCs w:val="32"/>
          <w:lang w:val="en-US" w:eastAsia="zh-CN"/>
        </w:rPr>
        <w:t>6.30</w:t>
      </w:r>
      <w:r>
        <w:rPr>
          <w:rFonts w:hint="default" w:ascii="Times New Roman" w:hAnsi="Times New Roman" w:eastAsia="方正仿宋_GBK" w:cs="Times New Roman"/>
          <w:sz w:val="32"/>
          <w:szCs w:val="32"/>
        </w:rPr>
        <w:t>万元，较上年增加（减少）</w:t>
      </w:r>
      <w:r>
        <w:rPr>
          <w:rFonts w:hint="default" w:ascii="Times New Roman" w:hAnsi="Times New Roman" w:eastAsia="方正仿宋_GBK" w:cs="Times New Roman"/>
          <w:sz w:val="32"/>
          <w:szCs w:val="32"/>
          <w:lang w:val="en-US" w:eastAsia="zh-CN"/>
        </w:rPr>
        <w:t>0.30</w:t>
      </w:r>
      <w:r>
        <w:rPr>
          <w:rFonts w:hint="default" w:ascii="Times New Roman" w:hAnsi="Times New Roman" w:eastAsia="方正仿宋_GBK" w:cs="Times New Roman"/>
          <w:sz w:val="32"/>
          <w:szCs w:val="32"/>
        </w:rPr>
        <w:t>万元，增长（下降）</w:t>
      </w:r>
      <w:r>
        <w:rPr>
          <w:rFonts w:hint="default" w:ascii="Times New Roman" w:hAnsi="Times New Roman" w:eastAsia="方正仿宋_GBK" w:cs="Times New Roman"/>
          <w:sz w:val="32"/>
          <w:szCs w:val="32"/>
          <w:lang w:val="en-US" w:eastAsia="zh-CN"/>
        </w:rPr>
        <w:t>4.55</w:t>
      </w:r>
      <w:r>
        <w:rPr>
          <w:rFonts w:hint="default" w:ascii="Times New Roman" w:hAnsi="Times New Roman" w:eastAsia="方正仿宋_GBK" w:cs="Times New Roman"/>
          <w:sz w:val="32"/>
          <w:szCs w:val="32"/>
        </w:rPr>
        <w:t>%，具体变动情况如下：</w:t>
      </w:r>
    </w:p>
    <w:p w14:paraId="2790142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（一）</w:t>
      </w:r>
      <w:r>
        <w:rPr>
          <w:rFonts w:hint="default" w:ascii="方正楷体_GBK" w:hAnsi="方正楷体_GBK" w:eastAsia="方正楷体_GBK" w:cs="方正楷体_GBK"/>
          <w:sz w:val="32"/>
          <w:szCs w:val="32"/>
        </w:rPr>
        <w:t>因公出国（境）费</w:t>
      </w:r>
    </w:p>
    <w:p w14:paraId="0DC9F91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玉溪市重点产业服务中心2025</w:t>
      </w:r>
      <w:r>
        <w:rPr>
          <w:rFonts w:hint="default" w:ascii="Times New Roman" w:hAnsi="Times New Roman" w:eastAsia="方正仿宋_GBK" w:cs="Times New Roman"/>
          <w:sz w:val="32"/>
          <w:szCs w:val="32"/>
        </w:rPr>
        <w:t>年因公出国（境）费预算为</w:t>
      </w:r>
      <w:r>
        <w:rPr>
          <w:rFonts w:hint="default" w:ascii="Times New Roman" w:hAnsi="Times New Roman" w:eastAsia="方正仿宋_GBK" w:cs="Times New Roman"/>
          <w:sz w:val="32"/>
          <w:szCs w:val="32"/>
          <w:lang w:val="en-US" w:eastAsia="zh-CN"/>
        </w:rPr>
        <w:t>0.00万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，较上年增加</w:t>
      </w:r>
      <w:r>
        <w:rPr>
          <w:rFonts w:hint="default" w:ascii="Times New Roman" w:hAnsi="Times New Roman" w:eastAsia="方正仿宋_GBK" w:cs="Times New Roman"/>
          <w:sz w:val="32"/>
          <w:szCs w:val="32"/>
          <w:lang w:val="en-US" w:eastAsia="zh-CN"/>
        </w:rPr>
        <w:t>0.00万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，增长</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%，共计安排因公出国（境）团组</w:t>
      </w:r>
      <w:r>
        <w:rPr>
          <w:rFonts w:hint="default" w:ascii="Times New Roman" w:hAnsi="Times New Roman" w:eastAsia="方正仿宋_GBK" w:cs="Times New Roman"/>
          <w:sz w:val="32"/>
          <w:szCs w:val="32"/>
          <w:lang w:val="en-US" w:eastAsia="zh-CN"/>
        </w:rPr>
        <w:t>0.00</w:t>
      </w:r>
      <w:r>
        <w:rPr>
          <w:rFonts w:hint="default" w:ascii="Times New Roman" w:hAnsi="Times New Roman" w:eastAsia="方正仿宋_GBK" w:cs="Times New Roman"/>
          <w:sz w:val="32"/>
          <w:szCs w:val="32"/>
        </w:rPr>
        <w:t>个，因公出国（境）</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人次。与上年对比</w:t>
      </w:r>
      <w:r>
        <w:rPr>
          <w:rFonts w:hint="default" w:ascii="Times New Roman" w:hAnsi="Times New Roman" w:eastAsia="方正仿宋_GBK" w:cs="Times New Roman"/>
          <w:sz w:val="32"/>
          <w:szCs w:val="32"/>
          <w:lang w:eastAsia="zh-CN"/>
        </w:rPr>
        <w:t>无变化</w:t>
      </w:r>
      <w:r>
        <w:rPr>
          <w:rFonts w:hint="default" w:ascii="Times New Roman" w:hAnsi="Times New Roman" w:eastAsia="方正仿宋_GBK" w:cs="Times New Roman"/>
          <w:sz w:val="32"/>
          <w:szCs w:val="32"/>
        </w:rPr>
        <w:t>，主要原因是没有因公出国</w:t>
      </w:r>
      <w:r>
        <w:rPr>
          <w:rFonts w:hint="default" w:ascii="Times New Roman" w:hAnsi="Times New Roman" w:eastAsia="方正仿宋_GBK" w:cs="Times New Roman"/>
          <w:sz w:val="32"/>
          <w:szCs w:val="32"/>
          <w:lang w:val="en-US" w:eastAsia="zh-CN"/>
        </w:rPr>
        <w:t>计划及</w:t>
      </w:r>
      <w:r>
        <w:rPr>
          <w:rFonts w:hint="default" w:ascii="Times New Roman" w:hAnsi="Times New Roman" w:eastAsia="方正仿宋_GBK" w:cs="Times New Roman"/>
          <w:sz w:val="32"/>
          <w:szCs w:val="32"/>
        </w:rPr>
        <w:t>预算。</w:t>
      </w:r>
    </w:p>
    <w:p w14:paraId="385832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（二）</w:t>
      </w:r>
      <w:r>
        <w:rPr>
          <w:rFonts w:hint="default" w:ascii="方正楷体_GBK" w:hAnsi="方正楷体_GBK" w:eastAsia="方正楷体_GBK" w:cs="方正楷体_GBK"/>
          <w:sz w:val="32"/>
          <w:szCs w:val="32"/>
        </w:rPr>
        <w:t>公务接待费</w:t>
      </w:r>
    </w:p>
    <w:p w14:paraId="5851F43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玉溪市重点产业服务中心2026</w:t>
      </w:r>
      <w:r>
        <w:rPr>
          <w:rFonts w:hint="default" w:ascii="Times New Roman" w:hAnsi="Times New Roman" w:eastAsia="方正仿宋_GBK" w:cs="Times New Roman"/>
          <w:sz w:val="32"/>
          <w:szCs w:val="32"/>
        </w:rPr>
        <w:t>年公务接待费预算为</w:t>
      </w:r>
      <w:r>
        <w:rPr>
          <w:rFonts w:hint="default" w:ascii="Times New Roman" w:hAnsi="Times New Roman" w:eastAsia="方正仿宋_GBK" w:cs="Times New Roman"/>
          <w:sz w:val="32"/>
          <w:szCs w:val="32"/>
          <w:lang w:val="en-US" w:eastAsia="zh-CN"/>
        </w:rPr>
        <w:t>3.70</w:t>
      </w:r>
      <w:r>
        <w:rPr>
          <w:rFonts w:hint="default" w:ascii="Times New Roman" w:hAnsi="Times New Roman" w:eastAsia="方正仿宋_GBK" w:cs="Times New Roman"/>
          <w:sz w:val="32"/>
          <w:szCs w:val="32"/>
        </w:rPr>
        <w:t>万元，较上年减少</w:t>
      </w:r>
      <w:r>
        <w:rPr>
          <w:rFonts w:hint="default" w:ascii="Times New Roman" w:hAnsi="Times New Roman" w:eastAsia="方正仿宋_GBK" w:cs="Times New Roman"/>
          <w:sz w:val="32"/>
          <w:szCs w:val="32"/>
          <w:lang w:val="en-US" w:eastAsia="zh-CN"/>
        </w:rPr>
        <w:t>0.30</w:t>
      </w:r>
      <w:r>
        <w:rPr>
          <w:rFonts w:hint="default" w:ascii="Times New Roman" w:hAnsi="Times New Roman" w:eastAsia="方正仿宋_GBK" w:cs="Times New Roman"/>
          <w:sz w:val="32"/>
          <w:szCs w:val="32"/>
        </w:rPr>
        <w:t>万元，下降</w:t>
      </w:r>
      <w:r>
        <w:rPr>
          <w:rFonts w:hint="default" w:ascii="Times New Roman" w:hAnsi="Times New Roman" w:eastAsia="方正仿宋_GBK" w:cs="Times New Roman"/>
          <w:sz w:val="32"/>
          <w:szCs w:val="32"/>
          <w:lang w:val="en-US" w:eastAsia="zh-CN"/>
        </w:rPr>
        <w:t>7.5</w:t>
      </w:r>
      <w:r>
        <w:rPr>
          <w:rFonts w:hint="default" w:ascii="Times New Roman" w:hAnsi="Times New Roman" w:eastAsia="方正仿宋_GBK" w:cs="Times New Roman"/>
          <w:sz w:val="32"/>
          <w:szCs w:val="32"/>
        </w:rPr>
        <w:t>%，国内公务接待批次为</w:t>
      </w:r>
      <w:r>
        <w:rPr>
          <w:rFonts w:hint="default" w:ascii="Times New Roman" w:hAnsi="Times New Roman" w:eastAsia="方正仿宋_GBK" w:cs="Times New Roman"/>
          <w:sz w:val="32"/>
          <w:szCs w:val="32"/>
          <w:lang w:val="en-US" w:eastAsia="zh-CN"/>
        </w:rPr>
        <w:t>37</w:t>
      </w:r>
      <w:r>
        <w:rPr>
          <w:rFonts w:hint="default" w:ascii="Times New Roman" w:hAnsi="Times New Roman" w:eastAsia="方正仿宋_GBK" w:cs="Times New Roman"/>
          <w:sz w:val="32"/>
          <w:szCs w:val="32"/>
        </w:rPr>
        <w:t>次，共计接待</w:t>
      </w:r>
      <w:r>
        <w:rPr>
          <w:rFonts w:hint="default" w:ascii="Times New Roman" w:hAnsi="Times New Roman" w:eastAsia="方正仿宋_GBK" w:cs="Times New Roman"/>
          <w:sz w:val="32"/>
          <w:szCs w:val="32"/>
          <w:lang w:val="en-US" w:eastAsia="zh-CN"/>
        </w:rPr>
        <w:t>370</w:t>
      </w:r>
      <w:r>
        <w:rPr>
          <w:rFonts w:hint="default" w:ascii="Times New Roman" w:hAnsi="Times New Roman" w:eastAsia="方正仿宋_GBK" w:cs="Times New Roman"/>
          <w:sz w:val="32"/>
          <w:szCs w:val="32"/>
        </w:rPr>
        <w:t>人次。</w:t>
      </w:r>
    </w:p>
    <w:p w14:paraId="2E26226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公务接待费用减少主要原因是部门落实过紧日子要求，压减公务接待支出。</w:t>
      </w:r>
    </w:p>
    <w:p w14:paraId="4B7A14D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（三）公务用车购置及运行维护费</w:t>
      </w:r>
    </w:p>
    <w:p w14:paraId="069C090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玉溪市重点产业服务中心2025</w:t>
      </w:r>
      <w:r>
        <w:rPr>
          <w:rFonts w:hint="default" w:ascii="Times New Roman" w:hAnsi="Times New Roman" w:eastAsia="方正仿宋_GBK" w:cs="Times New Roman"/>
          <w:sz w:val="32"/>
          <w:szCs w:val="32"/>
        </w:rPr>
        <w:t>年公务用车购置及运行维护费为</w:t>
      </w:r>
      <w:r>
        <w:rPr>
          <w:rFonts w:hint="default" w:ascii="Times New Roman" w:hAnsi="Times New Roman" w:eastAsia="方正仿宋_GBK" w:cs="Times New Roman"/>
          <w:sz w:val="32"/>
          <w:szCs w:val="32"/>
          <w:lang w:val="en-US" w:eastAsia="zh-CN"/>
        </w:rPr>
        <w:t>2.60万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，较上年增加</w:t>
      </w:r>
      <w:r>
        <w:rPr>
          <w:rFonts w:hint="default" w:ascii="Times New Roman" w:hAnsi="Times New Roman" w:eastAsia="方正仿宋_GBK" w:cs="Times New Roman"/>
          <w:sz w:val="32"/>
          <w:szCs w:val="32"/>
          <w:lang w:val="en-US" w:eastAsia="zh-CN"/>
        </w:rPr>
        <w:t>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，增长</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%。其中：公务用车购置费</w:t>
      </w:r>
      <w:r>
        <w:rPr>
          <w:rFonts w:hint="default" w:ascii="Times New Roman" w:hAnsi="Times New Roman" w:eastAsia="方正仿宋_GBK" w:cs="Times New Roman"/>
          <w:sz w:val="32"/>
          <w:szCs w:val="32"/>
          <w:lang w:val="en-US" w:eastAsia="zh-CN"/>
        </w:rPr>
        <w:t>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，较上年增加</w:t>
      </w:r>
      <w:r>
        <w:rPr>
          <w:rFonts w:hint="default" w:ascii="Times New Roman" w:hAnsi="Times New Roman" w:eastAsia="方正仿宋_GBK" w:cs="Times New Roman"/>
          <w:sz w:val="32"/>
          <w:szCs w:val="32"/>
          <w:lang w:val="en-US" w:eastAsia="zh-CN"/>
        </w:rPr>
        <w:t>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，增长</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%；公务用车运行维护费</w:t>
      </w:r>
      <w:r>
        <w:rPr>
          <w:rFonts w:hint="default" w:ascii="Times New Roman" w:hAnsi="Times New Roman" w:eastAsia="方正仿宋_GBK" w:cs="Times New Roman"/>
          <w:sz w:val="32"/>
          <w:szCs w:val="32"/>
          <w:lang w:val="en-US" w:eastAsia="zh-CN"/>
        </w:rPr>
        <w:t>2.60万</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，较上年增加</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lang w:eastAsia="zh-CN"/>
        </w:rPr>
        <w:t>元</w:t>
      </w:r>
      <w:r>
        <w:rPr>
          <w:rFonts w:hint="default" w:ascii="Times New Roman" w:hAnsi="Times New Roman" w:eastAsia="方正仿宋_GBK" w:cs="Times New Roman"/>
          <w:sz w:val="32"/>
          <w:szCs w:val="32"/>
        </w:rPr>
        <w:t>，增长</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%。共计购置公务用车</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辆，年末公务用车保有量为</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辆。</w:t>
      </w:r>
    </w:p>
    <w:p w14:paraId="52A928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公务用车购置及运行维护费与上年持平，原因是预计公车使用情况与上年大致相同。</w:t>
      </w:r>
    </w:p>
    <w:p w14:paraId="6FE3F99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八、</w:t>
      </w:r>
      <w:r>
        <w:rPr>
          <w:rFonts w:hint="default" w:ascii="方正黑体_GBK" w:hAnsi="方正黑体_GBK" w:eastAsia="方正黑体_GBK" w:cs="方正黑体_GBK"/>
          <w:sz w:val="32"/>
          <w:szCs w:val="32"/>
        </w:rPr>
        <w:t>重点项目预算绩效目标情况</w:t>
      </w:r>
    </w:p>
    <w:p w14:paraId="441D6A7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本部门2026年预算中无重点项目预算支出</w:t>
      </w:r>
    </w:p>
    <w:p w14:paraId="41BDD05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黑体_GBK" w:hAnsi="方正黑体_GBK" w:eastAsia="方正黑体_GBK" w:cs="方正黑体_GBK"/>
          <w:sz w:val="32"/>
          <w:szCs w:val="32"/>
        </w:rPr>
      </w:pPr>
      <w:r>
        <w:rPr>
          <w:rFonts w:hint="default" w:ascii="方正黑体_GBK" w:hAnsi="方正黑体_GBK" w:eastAsia="方正黑体_GBK" w:cs="方正黑体_GBK"/>
          <w:sz w:val="32"/>
          <w:szCs w:val="32"/>
        </w:rPr>
        <w:t>九、其他公开信息</w:t>
      </w:r>
    </w:p>
    <w:p w14:paraId="0D38799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（一）专业名词解释</w:t>
      </w:r>
    </w:p>
    <w:p w14:paraId="49106842">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1.一般公共预算收入。</w:t>
      </w:r>
      <w:r>
        <w:rPr>
          <w:rFonts w:hint="default" w:ascii="Times New Roman" w:hAnsi="Times New Roman" w:eastAsia="方正仿宋_GBK" w:cs="Times New Roman"/>
          <w:sz w:val="32"/>
          <w:szCs w:val="32"/>
        </w:rPr>
        <w:t>指政府凭借国家政治权力，以社会管理者身份筹集以税收为主体的财政收入，主要用于保障和改善民生、维持国家行政职能正常运转、保障国家安全等方面。包括税收收入和非税收入，其中：税收收入主要包括增值税、营业税、企业所得税、个人所得税等，非税收入主要包括纳入预算管理的行政性收费、罚没收入、专项收入、国有资源（资产）有偿使用收入等。</w:t>
      </w:r>
    </w:p>
    <w:p w14:paraId="236325FB">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2.一般公共预算支出。</w:t>
      </w:r>
      <w:r>
        <w:rPr>
          <w:rFonts w:hint="default" w:ascii="Times New Roman" w:hAnsi="Times New Roman" w:eastAsia="方正仿宋_GBK" w:cs="Times New Roman"/>
          <w:sz w:val="32"/>
          <w:szCs w:val="32"/>
        </w:rPr>
        <w:t>指通过一般公共预算收入统筹安排的支出。其功能分类范围主要包括：一般公共服务、公共安全、教育、科学技术、文化体育与传媒、社会保障和就业、医疗卫生、节能环保、城乡社区事务、农林水事务、交通运输、商业服务业等事务</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国土资源气象等</w:t>
      </w:r>
      <w:r>
        <w:rPr>
          <w:rFonts w:hint="default" w:ascii="Times New Roman" w:hAnsi="Times New Roman" w:eastAsia="方正仿宋_GBK" w:cs="Times New Roman"/>
          <w:sz w:val="32"/>
          <w:szCs w:val="32"/>
          <w:lang w:eastAsia="zh-CN"/>
        </w:rPr>
        <w:t>事务，</w:t>
      </w:r>
      <w:r>
        <w:rPr>
          <w:rFonts w:hint="default" w:ascii="Times New Roman" w:hAnsi="Times New Roman" w:eastAsia="方正仿宋_GBK" w:cs="Times New Roman"/>
          <w:sz w:val="32"/>
          <w:szCs w:val="32"/>
        </w:rPr>
        <w:t>住房保障支出等。</w:t>
      </w:r>
    </w:p>
    <w:p w14:paraId="71AE752D">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3.</w:t>
      </w:r>
      <w:r>
        <w:rPr>
          <w:rFonts w:hint="eastAsia"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三公</w:t>
      </w:r>
      <w:r>
        <w:rPr>
          <w:rFonts w:hint="eastAsia" w:eastAsia="方正仿宋_GBK" w:cs="Times New Roman"/>
          <w:b/>
          <w:bCs/>
          <w:sz w:val="32"/>
          <w:szCs w:val="32"/>
          <w:lang w:val="en-US" w:eastAsia="zh-CN"/>
        </w:rPr>
        <w:t>”</w:t>
      </w:r>
      <w:r>
        <w:rPr>
          <w:rFonts w:hint="default" w:ascii="Times New Roman" w:hAnsi="Times New Roman" w:eastAsia="方正仿宋_GBK" w:cs="Times New Roman"/>
          <w:b/>
          <w:bCs/>
          <w:sz w:val="32"/>
          <w:szCs w:val="32"/>
          <w:lang w:val="en-US" w:eastAsia="zh-CN"/>
        </w:rPr>
        <w:t>经费。</w:t>
      </w:r>
      <w:r>
        <w:rPr>
          <w:rFonts w:hint="default" w:ascii="Times New Roman" w:hAnsi="Times New Roman" w:eastAsia="方正仿宋_GBK" w:cs="Times New Roman"/>
          <w:sz w:val="32"/>
          <w:szCs w:val="32"/>
        </w:rPr>
        <w:t>指各部门从年初预算安排用于因公出国（境）费用、公务用车购置及运行维护费、公务接待费用的预算数。其中，因公出国（境）费，指单位工作人员公务出国（境）的住宿费、差旅费、伙食补助费、杂费、培训费等支出；公务用车购置及运行维护费，指单位公务用车购置费及租用费、燃料费、维修费、过路过桥费、保险费等支出；公务接待费，指单位按规定开支的各类公务接待支出。</w:t>
      </w:r>
    </w:p>
    <w:p w14:paraId="6DC3EA70">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4.政府采购。</w:t>
      </w:r>
      <w:r>
        <w:rPr>
          <w:rFonts w:hint="default" w:ascii="Times New Roman" w:hAnsi="Times New Roman" w:eastAsia="方正仿宋_GBK" w:cs="Times New Roman"/>
          <w:sz w:val="32"/>
          <w:szCs w:val="32"/>
        </w:rPr>
        <w:t>政府采购也称公共采购，是指各级国家机关、实行预算管理的事业单位和社会团体，采取竞争、择优、公开的形式，使用财政性资金，以购买、租赁、委托或雇佣等方法取得货物、工程和服务的行为。政府采购制度则是采购政策、采购方式、采购程序和组织形式等一系列政府采购管理规范的总称。</w:t>
      </w:r>
    </w:p>
    <w:p w14:paraId="31D9F36D">
      <w:pPr>
        <w:keepNext w:val="0"/>
        <w:keepLines w:val="0"/>
        <w:pageBreakBefore w:val="0"/>
        <w:widowControl w:val="0"/>
        <w:kinsoku/>
        <w:wordWrap/>
        <w:overflowPunct/>
        <w:topLinePunct w:val="0"/>
        <w:autoSpaceDE/>
        <w:autoSpaceDN/>
        <w:bidi w:val="0"/>
        <w:adjustRightInd/>
        <w:snapToGrid/>
        <w:spacing w:line="590" w:lineRule="exact"/>
        <w:ind w:firstLine="643"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b/>
          <w:bCs/>
          <w:sz w:val="32"/>
          <w:szCs w:val="32"/>
          <w:lang w:val="en-US" w:eastAsia="zh-CN"/>
        </w:rPr>
        <w:t>5.</w:t>
      </w:r>
      <w:r>
        <w:rPr>
          <w:rFonts w:hint="default" w:ascii="Times New Roman" w:hAnsi="Times New Roman" w:eastAsia="方正仿宋_GBK" w:cs="Times New Roman"/>
          <w:b/>
          <w:bCs/>
          <w:sz w:val="32"/>
          <w:szCs w:val="32"/>
        </w:rPr>
        <w:t>预算绩效管理</w:t>
      </w:r>
      <w:r>
        <w:rPr>
          <w:rFonts w:hint="default" w:ascii="Times New Roman" w:hAnsi="Times New Roman" w:eastAsia="方正仿宋_GBK" w:cs="Times New Roman"/>
          <w:b/>
          <w:bCs/>
          <w:sz w:val="32"/>
          <w:szCs w:val="32"/>
          <w:lang w:eastAsia="zh-CN"/>
        </w:rPr>
        <w:t>。</w:t>
      </w:r>
      <w:r>
        <w:rPr>
          <w:rFonts w:hint="default" w:ascii="Times New Roman" w:hAnsi="Times New Roman" w:eastAsia="方正仿宋_GBK" w:cs="Times New Roman"/>
          <w:sz w:val="32"/>
          <w:szCs w:val="32"/>
        </w:rPr>
        <w:t>以</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预算</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为对象开展的绩效管理，也就是将绩效管理理念和绩效管理方法贯穿于预算编制、执行、监督的全过程，并实现与预算管理有机融合的一种预算管理模式。预算绩效管理是政府绩效管理的重要组成部分，强化政府预算为民服务的理念，强调预算支出的责任和效率，要求在预算编制、执行、监督的全过程中更加关注预算资金的产出和结果，要求政府部门不断改进服务水平和质量，花尽量少的资金、办尽量多的实事，向社会公众提供更多、更好的公共产品和公共服务，使政府行为更加务实、高效。预算绩效管理的表现形式是四个环节紧密相连，即绩效目标管理、绩效跟踪监控、绩效评价实施、评价结果运用的有机统一，一环扣一环，形成封闭运行的预算管理闭环。</w:t>
      </w:r>
    </w:p>
    <w:p w14:paraId="438219A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（三）</w:t>
      </w:r>
      <w:r>
        <w:rPr>
          <w:rFonts w:hint="default" w:ascii="方正楷体_GBK" w:hAnsi="方正楷体_GBK" w:eastAsia="方正楷体_GBK" w:cs="方正楷体_GBK"/>
          <w:sz w:val="32"/>
          <w:szCs w:val="32"/>
        </w:rPr>
        <w:t>机关运行经费安排变化情况及原因说明</w:t>
      </w:r>
    </w:p>
    <w:p w14:paraId="4D4481B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玉溪市重点产业服务中心2026</w:t>
      </w:r>
      <w:r>
        <w:rPr>
          <w:rFonts w:hint="default" w:ascii="Times New Roman" w:hAnsi="Times New Roman" w:eastAsia="方正仿宋_GBK" w:cs="Times New Roman"/>
          <w:sz w:val="32"/>
          <w:szCs w:val="32"/>
        </w:rPr>
        <w:t>年机关运行经费安排</w:t>
      </w:r>
      <w:r>
        <w:rPr>
          <w:rFonts w:hint="default" w:ascii="Times New Roman" w:hAnsi="Times New Roman" w:eastAsia="方正仿宋_GBK" w:cs="Times New Roman"/>
          <w:sz w:val="32"/>
          <w:szCs w:val="32"/>
          <w:lang w:val="en-US" w:eastAsia="zh-CN"/>
        </w:rPr>
        <w:t>0.00万元</w:t>
      </w:r>
      <w:r>
        <w:rPr>
          <w:rFonts w:hint="default" w:ascii="Times New Roman" w:hAnsi="Times New Roman" w:eastAsia="方正仿宋_GBK" w:cs="Times New Roman"/>
          <w:sz w:val="32"/>
          <w:szCs w:val="32"/>
        </w:rPr>
        <w:t>，与上年</w:t>
      </w:r>
      <w:r>
        <w:rPr>
          <w:rFonts w:hint="default" w:ascii="Times New Roman" w:hAnsi="Times New Roman" w:eastAsia="方正仿宋_GBK" w:cs="Times New Roman"/>
          <w:sz w:val="32"/>
          <w:szCs w:val="32"/>
          <w:lang w:eastAsia="zh-CN"/>
        </w:rPr>
        <w:t>相比无变化</w:t>
      </w:r>
      <w:r>
        <w:rPr>
          <w:rFonts w:hint="default" w:ascii="Times New Roman" w:hAnsi="Times New Roman" w:eastAsia="方正仿宋_GBK" w:cs="Times New Roman"/>
          <w:sz w:val="32"/>
          <w:szCs w:val="32"/>
        </w:rPr>
        <w:t>，主要原因</w:t>
      </w:r>
      <w:r>
        <w:rPr>
          <w:rFonts w:hint="default" w:ascii="Times New Roman" w:hAnsi="Times New Roman" w:eastAsia="方正仿宋_GBK" w:cs="Times New Roman"/>
          <w:sz w:val="32"/>
          <w:szCs w:val="32"/>
          <w:lang w:eastAsia="zh-CN"/>
        </w:rPr>
        <w:t>是本</w:t>
      </w:r>
      <w:r>
        <w:rPr>
          <w:rFonts w:hint="default" w:ascii="Times New Roman" w:hAnsi="Times New Roman" w:eastAsia="方正仿宋_GBK" w:cs="Times New Roman"/>
          <w:sz w:val="32"/>
          <w:szCs w:val="32"/>
        </w:rPr>
        <w:t>单位为事业单位，无机关运行经费。</w:t>
      </w:r>
    </w:p>
    <w:p w14:paraId="5AA464B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方正楷体_GBK" w:hAnsi="方正楷体_GBK" w:eastAsia="方正楷体_GBK" w:cs="方正楷体_GBK"/>
          <w:sz w:val="32"/>
          <w:szCs w:val="32"/>
        </w:rPr>
      </w:pPr>
      <w:r>
        <w:rPr>
          <w:rFonts w:hint="eastAsia" w:ascii="方正楷体_GBK" w:hAnsi="方正楷体_GBK" w:eastAsia="方正楷体_GBK" w:cs="方正楷体_GBK"/>
          <w:sz w:val="32"/>
          <w:szCs w:val="32"/>
          <w:lang w:eastAsia="zh-CN"/>
        </w:rPr>
        <w:t>（四）</w:t>
      </w:r>
      <w:r>
        <w:rPr>
          <w:rFonts w:hint="default" w:ascii="方正楷体_GBK" w:hAnsi="方正楷体_GBK" w:eastAsia="方正楷体_GBK" w:cs="方正楷体_GBK"/>
          <w:sz w:val="32"/>
          <w:szCs w:val="32"/>
        </w:rPr>
        <w:t>国有资产占</w:t>
      </w:r>
      <w:r>
        <w:rPr>
          <w:rFonts w:hint="default" w:ascii="方正楷体_GBK" w:hAnsi="方正楷体_GBK" w:eastAsia="方正楷体_GBK" w:cs="方正楷体_GBK"/>
          <w:sz w:val="32"/>
          <w:szCs w:val="32"/>
          <w:lang w:eastAsia="zh-CN"/>
        </w:rPr>
        <w:t>有使用</w:t>
      </w:r>
      <w:r>
        <w:rPr>
          <w:rFonts w:hint="default" w:ascii="方正楷体_GBK" w:hAnsi="方正楷体_GBK" w:eastAsia="方正楷体_GBK" w:cs="方正楷体_GBK"/>
          <w:sz w:val="32"/>
          <w:szCs w:val="32"/>
        </w:rPr>
        <w:t>情况</w:t>
      </w:r>
    </w:p>
    <w:p w14:paraId="6A291CE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w:t>
      </w:r>
      <w:r>
        <w:rPr>
          <w:rFonts w:hint="default" w:ascii="Times New Roman" w:hAnsi="Times New Roman" w:eastAsia="方正仿宋_GBK" w:cs="Times New Roman"/>
          <w:sz w:val="32"/>
          <w:szCs w:val="32"/>
          <w:lang w:val="en-US" w:eastAsia="zh-CN"/>
        </w:rPr>
        <w:t>玉溪市重点产业服务中心</w:t>
      </w:r>
      <w:r>
        <w:rPr>
          <w:rFonts w:hint="default" w:ascii="Times New Roman" w:hAnsi="Times New Roman" w:eastAsia="方正仿宋_GBK" w:cs="Times New Roman"/>
          <w:sz w:val="32"/>
          <w:szCs w:val="32"/>
        </w:rPr>
        <w:t>资产总额</w:t>
      </w:r>
      <w:r>
        <w:rPr>
          <w:rFonts w:hint="default" w:ascii="Times New Roman" w:hAnsi="Times New Roman" w:eastAsia="方正仿宋_GBK" w:cs="Times New Roman"/>
          <w:sz w:val="32"/>
          <w:szCs w:val="32"/>
          <w:lang w:val="en-US" w:eastAsia="zh-CN"/>
        </w:rPr>
        <w:t>35.83</w:t>
      </w:r>
      <w:r>
        <w:rPr>
          <w:rFonts w:hint="default" w:ascii="Times New Roman" w:hAnsi="Times New Roman" w:eastAsia="方正仿宋_GBK" w:cs="Times New Roman"/>
          <w:sz w:val="32"/>
          <w:szCs w:val="32"/>
        </w:rPr>
        <w:t>万元，其中，流动资产</w:t>
      </w:r>
      <w:r>
        <w:rPr>
          <w:rFonts w:hint="default" w:ascii="Times New Roman" w:hAnsi="Times New Roman" w:eastAsia="方正仿宋_GBK" w:cs="Times New Roman"/>
          <w:sz w:val="32"/>
          <w:szCs w:val="32"/>
          <w:lang w:val="en-US" w:eastAsia="zh-CN"/>
        </w:rPr>
        <w:t>18.19</w:t>
      </w:r>
      <w:r>
        <w:rPr>
          <w:rFonts w:hint="default" w:ascii="Times New Roman" w:hAnsi="Times New Roman" w:eastAsia="方正仿宋_GBK" w:cs="Times New Roman"/>
          <w:sz w:val="32"/>
          <w:szCs w:val="32"/>
        </w:rPr>
        <w:t>万元，固定资产</w:t>
      </w:r>
      <w:r>
        <w:rPr>
          <w:rFonts w:hint="default" w:ascii="Times New Roman" w:hAnsi="Times New Roman" w:eastAsia="方正仿宋_GBK" w:cs="Times New Roman"/>
          <w:sz w:val="32"/>
          <w:szCs w:val="32"/>
          <w:lang w:val="en-US" w:eastAsia="zh-CN"/>
        </w:rPr>
        <w:t>17.44</w:t>
      </w:r>
      <w:r>
        <w:rPr>
          <w:rFonts w:hint="default" w:ascii="Times New Roman" w:hAnsi="Times New Roman" w:eastAsia="方正仿宋_GBK" w:cs="Times New Roman"/>
          <w:sz w:val="32"/>
          <w:szCs w:val="32"/>
        </w:rPr>
        <w:t>万元，对外投资及有价证券</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万元，在建工程</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万元，无形资产</w:t>
      </w:r>
      <w:r>
        <w:rPr>
          <w:rFonts w:hint="default" w:ascii="Times New Roman" w:hAnsi="Times New Roman" w:eastAsia="方正仿宋_GBK" w:cs="Times New Roman"/>
          <w:sz w:val="32"/>
          <w:szCs w:val="32"/>
          <w:lang w:val="en-US" w:eastAsia="zh-CN"/>
        </w:rPr>
        <w:t>0.20</w:t>
      </w:r>
      <w:r>
        <w:rPr>
          <w:rFonts w:hint="default" w:ascii="Times New Roman" w:hAnsi="Times New Roman" w:eastAsia="方正仿宋_GBK" w:cs="Times New Roman"/>
          <w:sz w:val="32"/>
          <w:szCs w:val="32"/>
        </w:rPr>
        <w:t>万元，其他资产</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万元。与上年相比，本年资产总额增加</w:t>
      </w:r>
      <w:r>
        <w:rPr>
          <w:rFonts w:hint="default" w:ascii="Times New Roman" w:hAnsi="Times New Roman" w:eastAsia="方正仿宋_GBK" w:cs="Times New Roman"/>
          <w:sz w:val="32"/>
          <w:szCs w:val="32"/>
          <w:lang w:val="en-US" w:eastAsia="zh-CN"/>
        </w:rPr>
        <w:t>18.65</w:t>
      </w:r>
      <w:r>
        <w:rPr>
          <w:rFonts w:hint="default" w:ascii="Times New Roman" w:hAnsi="Times New Roman" w:eastAsia="方正仿宋_GBK" w:cs="Times New Roman"/>
          <w:sz w:val="32"/>
          <w:szCs w:val="32"/>
        </w:rPr>
        <w:t>万元，其中固定资产增加</w:t>
      </w:r>
      <w:r>
        <w:rPr>
          <w:rFonts w:hint="default" w:ascii="Times New Roman" w:hAnsi="Times New Roman" w:eastAsia="方正仿宋_GBK" w:cs="Times New Roman"/>
          <w:sz w:val="32"/>
          <w:szCs w:val="32"/>
          <w:lang w:val="en-US" w:eastAsia="zh-CN"/>
        </w:rPr>
        <w:t>1.82</w:t>
      </w:r>
      <w:r>
        <w:rPr>
          <w:rFonts w:hint="default" w:ascii="Times New Roman" w:hAnsi="Times New Roman" w:eastAsia="方正仿宋_GBK" w:cs="Times New Roman"/>
          <w:sz w:val="32"/>
          <w:szCs w:val="32"/>
        </w:rPr>
        <w:t>万元。处置房屋建筑物</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平方米，账面原值</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万元；处置车辆</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辆，账面原值</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万元；报废报损资产</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项，账面原值</w:t>
      </w:r>
      <w:r>
        <w:rPr>
          <w:rFonts w:hint="default" w:ascii="Times New Roman" w:hAnsi="Times New Roman" w:eastAsia="方正仿宋_GBK" w:cs="Times New Roman"/>
          <w:sz w:val="32"/>
          <w:szCs w:val="32"/>
          <w:lang w:val="en-US" w:eastAsia="zh-CN"/>
        </w:rPr>
        <w:t>5.58</w:t>
      </w:r>
      <w:r>
        <w:rPr>
          <w:rFonts w:hint="default" w:ascii="Times New Roman" w:hAnsi="Times New Roman" w:eastAsia="方正仿宋_GBK" w:cs="Times New Roman"/>
          <w:sz w:val="32"/>
          <w:szCs w:val="32"/>
        </w:rPr>
        <w:t>万元，实现资产处置收入</w:t>
      </w:r>
      <w:r>
        <w:rPr>
          <w:rFonts w:hint="default" w:ascii="Times New Roman" w:hAnsi="Times New Roman" w:eastAsia="方正仿宋_GBK" w:cs="Times New Roman"/>
          <w:sz w:val="32"/>
          <w:szCs w:val="32"/>
          <w:lang w:val="en-US" w:eastAsia="zh-CN"/>
        </w:rPr>
        <w:t>0.07</w:t>
      </w:r>
      <w:r>
        <w:rPr>
          <w:rFonts w:hint="default" w:ascii="Times New Roman" w:hAnsi="Times New Roman" w:eastAsia="方正仿宋_GBK" w:cs="Times New Roman"/>
          <w:sz w:val="32"/>
          <w:szCs w:val="32"/>
        </w:rPr>
        <w:t>万元；资产使用收入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万元，其中出租资产</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平方米，资产出租收入</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万元。鉴于截至202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年12月31日的国有资产占有使用精准数据，需在完成202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年决算编制后才能汇总，此处公开为202</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月资产月报数。</w:t>
      </w:r>
    </w:p>
    <w:p w14:paraId="126A22ED">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方正仿宋_GBK" w:cs="Times New Roman"/>
          <w:sz w:val="32"/>
          <w:szCs w:val="32"/>
        </w:rPr>
      </w:pPr>
    </w:p>
    <w:sectPr>
      <w:headerReference r:id="rId6" w:type="default"/>
      <w:footerReference r:id="rId7" w:type="default"/>
      <w:pgSz w:w="11906" w:h="16838"/>
      <w:pgMar w:top="2041" w:right="1474" w:bottom="1304" w:left="1587"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73766D-AAD9-4A3F-89DB-92F0E3E014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embedRegular r:id="rId2" w:fontKey="{D7163816-C70B-4706-AA5D-FE2674791727}"/>
  </w:font>
  <w:font w:name="方正小标宋_GBK">
    <w:panose1 w:val="02000000000000000000"/>
    <w:charset w:val="86"/>
    <w:family w:val="auto"/>
    <w:pitch w:val="default"/>
    <w:sig w:usb0="A00002BF" w:usb1="38CF7CFA" w:usb2="00082016" w:usb3="00000000" w:csb0="00040001" w:csb1="00000000"/>
    <w:embedRegular r:id="rId3" w:fontKey="{4027D3BA-292B-4DBE-AE63-8E797BE36F40}"/>
  </w:font>
  <w:font w:name="方正黑体_GBK">
    <w:panose1 w:val="02010600010101010101"/>
    <w:charset w:val="86"/>
    <w:family w:val="auto"/>
    <w:pitch w:val="default"/>
    <w:sig w:usb0="00000001" w:usb1="080E0000" w:usb2="00000000" w:usb3="00000000" w:csb0="00040000" w:csb1="00000000"/>
    <w:embedRegular r:id="rId4" w:fontKey="{CFD1F0CA-C6EE-443B-9A6B-F92E74321D84}"/>
  </w:font>
  <w:font w:name="方正楷体_GBK">
    <w:panose1 w:val="02000000000000000000"/>
    <w:charset w:val="86"/>
    <w:family w:val="auto"/>
    <w:pitch w:val="default"/>
    <w:sig w:usb0="800002BF" w:usb1="38CF7CFA" w:usb2="00000016" w:usb3="00000000" w:csb0="00040000" w:csb1="00000000"/>
    <w:embedRegular r:id="rId5" w:fontKey="{6B054F58-E880-49B7-B5F3-B13EC4B60D8C}"/>
  </w:font>
  <w:font w:name="方正小标宋简体">
    <w:panose1 w:val="02000000000000000000"/>
    <w:charset w:val="86"/>
    <w:family w:val="auto"/>
    <w:pitch w:val="default"/>
    <w:sig w:usb0="00000001" w:usb1="08000000" w:usb2="00000000" w:usb3="00000000" w:csb0="00040000" w:csb1="00000000"/>
    <w:embedRegular r:id="rId6" w:fontKey="{EE7E1961-D907-4428-86C2-3FE2037D5D55}"/>
  </w:font>
  <w:font w:name="仿宋_GB2312">
    <w:altName w:val="仿宋"/>
    <w:panose1 w:val="02010609030101010101"/>
    <w:charset w:val="86"/>
    <w:family w:val="modern"/>
    <w:pitch w:val="default"/>
    <w:sig w:usb0="00000000" w:usb1="00000000" w:usb2="00000000" w:usb3="00000000" w:csb0="00040000" w:csb1="00000000"/>
    <w:embedRegular r:id="rId7" w:fontKey="{BD5F38AB-A502-4CFF-BC33-EDA45F9197FB}"/>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CE99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128D6">
                          <w:pPr>
                            <w:pStyle w:val="5"/>
                            <w:rPr>
                              <w:rFonts w:hint="eastAsia" w:ascii="宋体" w:hAnsi="宋体" w:eastAsia="宋体"/>
                              <w:sz w:val="28"/>
                              <w:lang w:eastAsia="zh-CN"/>
                            </w:rPr>
                          </w:pPr>
                          <w:r>
                            <w:rPr>
                              <w:rFonts w:hint="eastAsia" w:ascii="宋体" w:hAnsi="宋体"/>
                              <w:sz w:val="28"/>
                              <w:lang w:eastAsia="zh-CN"/>
                            </w:rPr>
                            <w:t>—</w:t>
                          </w:r>
                          <w:r>
                            <w:rPr>
                              <w:rFonts w:hint="eastAsia" w:ascii="宋体" w:hAnsi="宋体"/>
                              <w:sz w:val="28"/>
                              <w:lang w:val="en-US"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1</w:t>
                          </w:r>
                          <w:r>
                            <w:rPr>
                              <w:rFonts w:hint="eastAsia" w:ascii="宋体" w:hAnsi="宋体"/>
                              <w:sz w:val="28"/>
                              <w:lang w:eastAsia="zh-CN"/>
                            </w:rPr>
                            <w:fldChar w:fldCharType="end"/>
                          </w:r>
                          <w:r>
                            <w:rPr>
                              <w:rFonts w:hint="eastAsia" w:ascii="宋体" w:hAnsi="宋体"/>
                              <w:sz w:val="28"/>
                              <w:lang w:val="en-US" w:eastAsia="zh-CN"/>
                            </w:rPr>
                            <w:t xml:space="preserve"> </w:t>
                          </w:r>
                          <w:r>
                            <w:rPr>
                              <w:rFonts w:hint="eastAsia" w:ascii="宋体" w:hAnsi="宋体"/>
                              <w:sz w:val="28"/>
                              <w:lang w:eastAsia="zh-CN"/>
                            </w:rPr>
                            <w:t>—</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path/>
              <v:fill on="f" focussize="0,0"/>
              <v:stroke on="f"/>
              <v:imagedata o:title=""/>
              <o:lock v:ext="edit" aspectratio="f"/>
              <v:textbox inset="0mm,0mm,0mm,0mm" style="mso-fit-shape-to-text:t;">
                <w:txbxContent>
                  <w:p w14:paraId="481128D6">
                    <w:pPr>
                      <w:pStyle w:val="5"/>
                      <w:rPr>
                        <w:rFonts w:hint="eastAsia" w:ascii="宋体" w:hAnsi="宋体" w:eastAsia="宋体"/>
                        <w:sz w:val="28"/>
                        <w:lang w:eastAsia="zh-CN"/>
                      </w:rPr>
                    </w:pPr>
                    <w:r>
                      <w:rPr>
                        <w:rFonts w:hint="eastAsia" w:ascii="宋体" w:hAnsi="宋体"/>
                        <w:sz w:val="28"/>
                        <w:lang w:eastAsia="zh-CN"/>
                      </w:rPr>
                      <w:t>—</w:t>
                    </w:r>
                    <w:r>
                      <w:rPr>
                        <w:rFonts w:hint="eastAsia" w:ascii="宋体" w:hAnsi="宋体"/>
                        <w:sz w:val="28"/>
                        <w:lang w:val="en-US" w:eastAsia="zh-CN"/>
                      </w:rPr>
                      <w:t xml:space="preserve"> </w:t>
                    </w:r>
                    <w:r>
                      <w:rPr>
                        <w:rFonts w:hint="eastAsia" w:ascii="宋体" w:hAnsi="宋体"/>
                        <w:sz w:val="28"/>
                        <w:lang w:eastAsia="zh-CN"/>
                      </w:rPr>
                      <w:fldChar w:fldCharType="begin"/>
                    </w:r>
                    <w:r>
                      <w:rPr>
                        <w:rFonts w:hint="eastAsia" w:ascii="宋体" w:hAnsi="宋体"/>
                        <w:sz w:val="28"/>
                        <w:lang w:eastAsia="zh-CN"/>
                      </w:rPr>
                      <w:instrText xml:space="preserve"> PAGE  \* MERGEFORMAT </w:instrText>
                    </w:r>
                    <w:r>
                      <w:rPr>
                        <w:rFonts w:hint="eastAsia" w:ascii="宋体" w:hAnsi="宋体"/>
                        <w:sz w:val="28"/>
                        <w:lang w:eastAsia="zh-CN"/>
                      </w:rPr>
                      <w:fldChar w:fldCharType="separate"/>
                    </w:r>
                    <w:r>
                      <w:rPr>
                        <w:rFonts w:hint="eastAsia" w:ascii="宋体" w:hAnsi="宋体"/>
                        <w:sz w:val="28"/>
                        <w:lang w:eastAsia="zh-CN"/>
                      </w:rPr>
                      <w:t>1</w:t>
                    </w:r>
                    <w:r>
                      <w:rPr>
                        <w:rFonts w:hint="eastAsia" w:ascii="宋体" w:hAnsi="宋体"/>
                        <w:sz w:val="28"/>
                        <w:lang w:eastAsia="zh-CN"/>
                      </w:rPr>
                      <w:fldChar w:fldCharType="end"/>
                    </w:r>
                    <w:r>
                      <w:rPr>
                        <w:rFonts w:hint="eastAsia" w:ascii="宋体" w:hAnsi="宋体"/>
                        <w:sz w:val="28"/>
                        <w:lang w:val="en-US" w:eastAsia="zh-CN"/>
                      </w:rPr>
                      <w:t xml:space="preserve"> </w:t>
                    </w:r>
                    <w:r>
                      <w:rPr>
                        <w:rFonts w:hint="eastAsia" w:ascii="宋体" w:hAnsi="宋体"/>
                        <w:sz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4C05">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C0EABD">
                          <w:pPr>
                            <w:pStyle w:val="5"/>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lang w:eastAsia="zh-CN"/>
                            </w:rPr>
                            <w:t>—</w:t>
                          </w:r>
                        </w:p>
                      </w:txbxContent>
                    </wps:txbx>
                    <wps:bodyPr vert="horz"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tIW7dAQAAvgMAAA4AAAAAAAAA&#10;AQAgAAAAHgEAAGRycy9lMm9Eb2MueG1sUEsFBgAAAAAGAAYAWQEAAG0FAAAAAA==&#10;">
              <v:fill on="f" focussize="0,0"/>
              <v:stroke on="f"/>
              <v:imagedata o:title=""/>
              <o:lock v:ext="edit" aspectratio="f"/>
              <v:textbox inset="0mm,0mm,0mm,0mm" style="mso-fit-shape-to-text:t;">
                <w:txbxContent>
                  <w:p w14:paraId="42C0EABD">
                    <w:pPr>
                      <w:pStyle w:val="5"/>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lang w:eastAsia="zh-CN"/>
                      </w:rPr>
                      <w:fldChar w:fldCharType="begin"/>
                    </w:r>
                    <w:r>
                      <w:rPr>
                        <w:rFonts w:hint="default" w:ascii="Times New Roman" w:hAnsi="Times New Roman" w:eastAsia="宋体" w:cs="Times New Roman"/>
                        <w:sz w:val="28"/>
                        <w:szCs w:val="28"/>
                        <w:lang w:eastAsia="zh-CN"/>
                      </w:rPr>
                      <w:instrText xml:space="preserve"> PAGE  \* MERGEFORMAT </w:instrText>
                    </w:r>
                    <w:r>
                      <w:rPr>
                        <w:rFonts w:hint="default" w:ascii="Times New Roman" w:hAnsi="Times New Roman" w:eastAsia="宋体" w:cs="Times New Roman"/>
                        <w:sz w:val="28"/>
                        <w:szCs w:val="28"/>
                        <w:lang w:eastAsia="zh-CN"/>
                      </w:rPr>
                      <w:fldChar w:fldCharType="separate"/>
                    </w:r>
                    <w:r>
                      <w:rPr>
                        <w:rFonts w:hint="default" w:ascii="Times New Roman" w:hAnsi="Times New Roman" w:eastAsia="宋体" w:cs="Times New Roman"/>
                        <w:sz w:val="28"/>
                        <w:szCs w:val="28"/>
                        <w:lang w:eastAsia="zh-CN"/>
                      </w:rPr>
                      <w:t>1</w:t>
                    </w:r>
                    <w:r>
                      <w:rPr>
                        <w:rFonts w:hint="default" w:ascii="Times New Roman" w:hAnsi="Times New Roman" w:eastAsia="宋体" w:cs="Times New Roman"/>
                        <w:sz w:val="28"/>
                        <w:szCs w:val="28"/>
                        <w:lang w:eastAsia="zh-CN"/>
                      </w:rPr>
                      <w:fldChar w:fldCharType="end"/>
                    </w:r>
                    <w:r>
                      <w:rPr>
                        <w:rFonts w:hint="default" w:ascii="Times New Roman" w:hAnsi="Times New Roman" w:eastAsia="宋体" w:cs="Times New Roman"/>
                        <w:sz w:val="28"/>
                        <w:szCs w:val="28"/>
                        <w:lang w:val="en-US" w:eastAsia="zh-CN"/>
                      </w:rPr>
                      <w:t xml:space="preserve"> </w:t>
                    </w:r>
                    <w:r>
                      <w:rPr>
                        <w:rFonts w:hint="default" w:ascii="Times New Roman" w:hAnsi="Times New Roman" w:eastAsia="宋体" w:cs="Times New Roman"/>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182BB">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72BB1">
    <w:pPr>
      <w:pStyle w:val="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70011">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47B5"/>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0DCB"/>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E77E7"/>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C74DA"/>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0D28"/>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231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18B30C2"/>
    <w:rsid w:val="02C265F9"/>
    <w:rsid w:val="03997AC2"/>
    <w:rsid w:val="03F0214E"/>
    <w:rsid w:val="04314F30"/>
    <w:rsid w:val="045C2ADF"/>
    <w:rsid w:val="046F214C"/>
    <w:rsid w:val="04D53301"/>
    <w:rsid w:val="04F44A98"/>
    <w:rsid w:val="054A5EB5"/>
    <w:rsid w:val="06325B44"/>
    <w:rsid w:val="06AE4ECD"/>
    <w:rsid w:val="071C7F9D"/>
    <w:rsid w:val="082C4C7B"/>
    <w:rsid w:val="08CE0899"/>
    <w:rsid w:val="09412610"/>
    <w:rsid w:val="09C70938"/>
    <w:rsid w:val="0A4372AD"/>
    <w:rsid w:val="0A782F2B"/>
    <w:rsid w:val="0AB77A2F"/>
    <w:rsid w:val="0AF5210A"/>
    <w:rsid w:val="0B57477A"/>
    <w:rsid w:val="0B9861C5"/>
    <w:rsid w:val="0BFD28E4"/>
    <w:rsid w:val="0D9F5B85"/>
    <w:rsid w:val="0EE76444"/>
    <w:rsid w:val="0F635DF8"/>
    <w:rsid w:val="10687993"/>
    <w:rsid w:val="10741D7C"/>
    <w:rsid w:val="10CF5F02"/>
    <w:rsid w:val="111D3473"/>
    <w:rsid w:val="12541B05"/>
    <w:rsid w:val="12A72C53"/>
    <w:rsid w:val="133504F9"/>
    <w:rsid w:val="13B61995"/>
    <w:rsid w:val="16120B81"/>
    <w:rsid w:val="165D6CAE"/>
    <w:rsid w:val="16DF634E"/>
    <w:rsid w:val="177B10D8"/>
    <w:rsid w:val="17E531F7"/>
    <w:rsid w:val="18587AB4"/>
    <w:rsid w:val="18863C4E"/>
    <w:rsid w:val="1907259E"/>
    <w:rsid w:val="19F55BCD"/>
    <w:rsid w:val="1A0B3DDD"/>
    <w:rsid w:val="1A1B6230"/>
    <w:rsid w:val="1A716F5F"/>
    <w:rsid w:val="1A751B4A"/>
    <w:rsid w:val="1B645DF7"/>
    <w:rsid w:val="1B7457C9"/>
    <w:rsid w:val="1BD73E6F"/>
    <w:rsid w:val="1CE4142A"/>
    <w:rsid w:val="1D943481"/>
    <w:rsid w:val="1DD708B6"/>
    <w:rsid w:val="1DE63E53"/>
    <w:rsid w:val="1E866D11"/>
    <w:rsid w:val="1E924522"/>
    <w:rsid w:val="1F8F6F61"/>
    <w:rsid w:val="20B50589"/>
    <w:rsid w:val="20CC70F5"/>
    <w:rsid w:val="20DB6E4B"/>
    <w:rsid w:val="21D02FCE"/>
    <w:rsid w:val="22060E8B"/>
    <w:rsid w:val="2380063A"/>
    <w:rsid w:val="24192B24"/>
    <w:rsid w:val="249262B8"/>
    <w:rsid w:val="25603D6C"/>
    <w:rsid w:val="27793A4D"/>
    <w:rsid w:val="27C44B4F"/>
    <w:rsid w:val="28694256"/>
    <w:rsid w:val="29684A53"/>
    <w:rsid w:val="2A1E5382"/>
    <w:rsid w:val="2A2D00A9"/>
    <w:rsid w:val="2A63437F"/>
    <w:rsid w:val="2E343CBB"/>
    <w:rsid w:val="2E574E83"/>
    <w:rsid w:val="2E7A1926"/>
    <w:rsid w:val="2E92749B"/>
    <w:rsid w:val="2EC91B9A"/>
    <w:rsid w:val="2F1C119D"/>
    <w:rsid w:val="30A32E5A"/>
    <w:rsid w:val="3227360A"/>
    <w:rsid w:val="38226957"/>
    <w:rsid w:val="38B94E67"/>
    <w:rsid w:val="38D85AB4"/>
    <w:rsid w:val="39466C4F"/>
    <w:rsid w:val="39A86124"/>
    <w:rsid w:val="3A8A588E"/>
    <w:rsid w:val="3AA03338"/>
    <w:rsid w:val="3AC978D1"/>
    <w:rsid w:val="3B026B0F"/>
    <w:rsid w:val="3B236022"/>
    <w:rsid w:val="3B784830"/>
    <w:rsid w:val="3C1464F1"/>
    <w:rsid w:val="3D884FC1"/>
    <w:rsid w:val="3DCC2998"/>
    <w:rsid w:val="3E1D7086"/>
    <w:rsid w:val="3E317E18"/>
    <w:rsid w:val="3F5538EE"/>
    <w:rsid w:val="41134E62"/>
    <w:rsid w:val="417D1121"/>
    <w:rsid w:val="418D636A"/>
    <w:rsid w:val="41FE6944"/>
    <w:rsid w:val="44AA4869"/>
    <w:rsid w:val="454D3EA5"/>
    <w:rsid w:val="488A54A4"/>
    <w:rsid w:val="48A553A3"/>
    <w:rsid w:val="49916668"/>
    <w:rsid w:val="4A8A424F"/>
    <w:rsid w:val="4A96065A"/>
    <w:rsid w:val="4C5145E8"/>
    <w:rsid w:val="4D797BD0"/>
    <w:rsid w:val="4E866A4D"/>
    <w:rsid w:val="4FAF5395"/>
    <w:rsid w:val="50E05013"/>
    <w:rsid w:val="51486F2A"/>
    <w:rsid w:val="52AE5FF2"/>
    <w:rsid w:val="52F4603B"/>
    <w:rsid w:val="53762EEC"/>
    <w:rsid w:val="53E1259B"/>
    <w:rsid w:val="53F26FC1"/>
    <w:rsid w:val="540C7FF2"/>
    <w:rsid w:val="543878C2"/>
    <w:rsid w:val="55BB5FED"/>
    <w:rsid w:val="565C22F4"/>
    <w:rsid w:val="56E73CA1"/>
    <w:rsid w:val="56F77E4E"/>
    <w:rsid w:val="57476C71"/>
    <w:rsid w:val="5753107B"/>
    <w:rsid w:val="575350B5"/>
    <w:rsid w:val="57BE5D21"/>
    <w:rsid w:val="57C245EC"/>
    <w:rsid w:val="58193164"/>
    <w:rsid w:val="5A3D5D63"/>
    <w:rsid w:val="5A4E6182"/>
    <w:rsid w:val="5A523E5D"/>
    <w:rsid w:val="5A5F2402"/>
    <w:rsid w:val="5AE52219"/>
    <w:rsid w:val="5B4B2AA8"/>
    <w:rsid w:val="5B6F544B"/>
    <w:rsid w:val="5D8A3FC2"/>
    <w:rsid w:val="5E8D610B"/>
    <w:rsid w:val="611236F1"/>
    <w:rsid w:val="61BE0D38"/>
    <w:rsid w:val="646605FE"/>
    <w:rsid w:val="66EF6B43"/>
    <w:rsid w:val="676320BD"/>
    <w:rsid w:val="676E094C"/>
    <w:rsid w:val="68E14376"/>
    <w:rsid w:val="690F430A"/>
    <w:rsid w:val="69B304BD"/>
    <w:rsid w:val="69C74777"/>
    <w:rsid w:val="69D97BBF"/>
    <w:rsid w:val="6A070C95"/>
    <w:rsid w:val="6A990843"/>
    <w:rsid w:val="6AB34E53"/>
    <w:rsid w:val="6B29789C"/>
    <w:rsid w:val="6C185166"/>
    <w:rsid w:val="6C72764F"/>
    <w:rsid w:val="6CE00556"/>
    <w:rsid w:val="6CE34371"/>
    <w:rsid w:val="6EDA6A94"/>
    <w:rsid w:val="6F2C536B"/>
    <w:rsid w:val="7005690A"/>
    <w:rsid w:val="70497C18"/>
    <w:rsid w:val="706044C2"/>
    <w:rsid w:val="707217B7"/>
    <w:rsid w:val="70B21C0E"/>
    <w:rsid w:val="70F826C0"/>
    <w:rsid w:val="72063E6D"/>
    <w:rsid w:val="720E10EA"/>
    <w:rsid w:val="72150A9E"/>
    <w:rsid w:val="72293730"/>
    <w:rsid w:val="724A4A01"/>
    <w:rsid w:val="730E277A"/>
    <w:rsid w:val="73116912"/>
    <w:rsid w:val="73954482"/>
    <w:rsid w:val="73C43C1D"/>
    <w:rsid w:val="74AF0C52"/>
    <w:rsid w:val="74C2123B"/>
    <w:rsid w:val="75285EA2"/>
    <w:rsid w:val="758343EA"/>
    <w:rsid w:val="76446D01"/>
    <w:rsid w:val="76DD19B6"/>
    <w:rsid w:val="772B1020"/>
    <w:rsid w:val="77C07374"/>
    <w:rsid w:val="786B20EF"/>
    <w:rsid w:val="7AE93D0D"/>
    <w:rsid w:val="7BDF49CA"/>
    <w:rsid w:val="7D4F20E1"/>
    <w:rsid w:val="7D99752A"/>
    <w:rsid w:val="F9BF2E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w:basedOn w:val="1"/>
    <w:unhideWhenUsed/>
    <w:uiPriority w:val="0"/>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semiHidden/>
    <w:qFormat/>
    <w:uiPriority w:val="0"/>
    <w:rPr>
      <w:b/>
      <w:bCs/>
    </w:rPr>
  </w:style>
  <w:style w:type="character" w:styleId="10">
    <w:name w:val="annotation reference"/>
    <w:semiHidden/>
    <w:qFormat/>
    <w:uiPriority w:val="0"/>
    <w:rPr>
      <w:sz w:val="21"/>
      <w:szCs w:val="21"/>
    </w:rPr>
  </w:style>
  <w:style w:type="paragraph" w:customStyle="1" w:styleId="11">
    <w:name w:val="Revision"/>
    <w:semiHidden/>
    <w:qFormat/>
    <w:uiPriority w:val="99"/>
    <w:rPr>
      <w:rFonts w:ascii="Times New Roman" w:hAnsi="Times New Roman" w:eastAsia="宋体" w:cs="Times New Roman"/>
      <w:kern w:val="2"/>
      <w:sz w:val="21"/>
      <w:szCs w:val="24"/>
      <w:lang w:val="en-US" w:eastAsia="zh-CN" w:bidi="ar-SA"/>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Calibri" w:hAnsi="Calibri" w:eastAsia="方正仿宋_GBK"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11</Pages>
  <Words>4070</Words>
  <Characters>4413</Characters>
  <Lines>12</Lines>
  <Paragraphs>3</Paragraphs>
  <TotalTime>1</TotalTime>
  <ScaleCrop>false</ScaleCrop>
  <LinksUpToDate>false</LinksUpToDate>
  <CharactersWithSpaces>4413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2012-01-07T19:13:00Z</dcterms:created>
  <dc:creator>lx</dc:creator>
  <dc:description>ZHGenApp().GetProperty("Certification")</dc:description>
  <cp:lastModifiedBy>Hankle</cp:lastModifiedBy>
  <cp:lastPrinted>2026-02-09T03:11:00Z</cp:lastPrinted>
  <dcterms:modified xsi:type="dcterms:W3CDTF">2026-02-10T06:51:23Z</dcterms:modified>
  <dc:title>年部门预算编制说明</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eyJoZGlkIjoiMTZiZjg1NWM3MDU0YzYzODQ2MjY0Zjg5ZGVlNDhhY2UiLCJ1c2VySWQiOiIyMjIwODI3NjgifQ==</vt:lpwstr>
  </property>
  <property fmtid="{D5CDD505-2E9C-101B-9397-08002B2CF9AE}" pid="4" name="ICV">
    <vt:lpwstr>4F4FAC93AFFD4CD49FB5F4D69006A82E_13</vt:lpwstr>
  </property>
</Properties>
</file>